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7" w:rsidRDefault="008712F1" w:rsidP="008712F1">
      <w:pPr>
        <w:jc w:val="center"/>
        <w:rPr>
          <w:b/>
        </w:rPr>
      </w:pPr>
      <w:r w:rsidRPr="008712F1">
        <w:rPr>
          <w:b/>
        </w:rPr>
        <w:t>Microfinance</w:t>
      </w:r>
    </w:p>
    <w:tbl>
      <w:tblPr>
        <w:tblStyle w:val="TableGrid"/>
        <w:tblW w:w="0" w:type="auto"/>
        <w:tblLook w:val="04A0" w:firstRow="1" w:lastRow="0" w:firstColumn="1" w:lastColumn="0" w:noHBand="0" w:noVBand="1"/>
      </w:tblPr>
      <w:tblGrid>
        <w:gridCol w:w="846"/>
        <w:gridCol w:w="8170"/>
      </w:tblGrid>
      <w:tr w:rsidR="008712F1" w:rsidTr="008712F1">
        <w:tc>
          <w:tcPr>
            <w:tcW w:w="846" w:type="dxa"/>
          </w:tcPr>
          <w:p w:rsidR="008712F1" w:rsidRDefault="00DF0B94" w:rsidP="00DF0B94">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170" w:type="dxa"/>
          </w:tcPr>
          <w:p w:rsidR="008712F1" w:rsidRDefault="00DF0B94" w:rsidP="00DF0B94">
            <w:pPr>
              <w:jc w:val="center"/>
              <w:rPr>
                <w:rFonts w:ascii="Arial" w:hAnsi="Arial" w:cs="Arial"/>
                <w:b/>
                <w:bCs/>
                <w:color w:val="000000"/>
                <w:sz w:val="20"/>
                <w:szCs w:val="20"/>
              </w:rPr>
            </w:pPr>
            <w:r>
              <w:rPr>
                <w:rFonts w:ascii="Arial" w:hAnsi="Arial" w:cs="Arial"/>
                <w:b/>
                <w:bCs/>
                <w:color w:val="000000"/>
                <w:sz w:val="20"/>
                <w:szCs w:val="20"/>
              </w:rPr>
              <w:t>RBI Notifications</w:t>
            </w:r>
          </w:p>
        </w:tc>
      </w:tr>
      <w:tr w:rsidR="008712F1" w:rsidTr="008712F1">
        <w:tc>
          <w:tcPr>
            <w:tcW w:w="846" w:type="dxa"/>
          </w:tcPr>
          <w:p w:rsidR="008712F1" w:rsidRPr="00DF0B94" w:rsidRDefault="008712F1" w:rsidP="00DF0B94">
            <w:pPr>
              <w:pStyle w:val="ListParagraph"/>
              <w:numPr>
                <w:ilvl w:val="0"/>
                <w:numId w:val="5"/>
              </w:numPr>
              <w:jc w:val="both"/>
              <w:rPr>
                <w:rFonts w:ascii="Arial" w:hAnsi="Arial" w:cs="Arial"/>
                <w:bCs/>
                <w:color w:val="000000"/>
                <w:sz w:val="20"/>
                <w:szCs w:val="20"/>
              </w:rPr>
            </w:pPr>
          </w:p>
        </w:tc>
        <w:tc>
          <w:tcPr>
            <w:tcW w:w="8170" w:type="dxa"/>
          </w:tcPr>
          <w:p w:rsidR="008712F1" w:rsidRPr="00DF0B94" w:rsidRDefault="00DF0B94" w:rsidP="008712F1">
            <w:pPr>
              <w:jc w:val="both"/>
              <w:rPr>
                <w:rFonts w:ascii="Arial" w:hAnsi="Arial" w:cs="Arial"/>
                <w:bCs/>
                <w:color w:val="000000"/>
                <w:sz w:val="20"/>
                <w:szCs w:val="20"/>
              </w:rPr>
            </w:pPr>
            <w:r w:rsidRPr="00DF0B94">
              <w:rPr>
                <w:rFonts w:ascii="Arial" w:hAnsi="Arial" w:cs="Arial"/>
                <w:bCs/>
                <w:color w:val="000000"/>
                <w:sz w:val="20"/>
                <w:szCs w:val="20"/>
              </w:rPr>
              <w:t>Provisioning Requirement for Investment in Security Receipts (SRs)</w:t>
            </w:r>
          </w:p>
        </w:tc>
      </w:tr>
      <w:tr w:rsidR="008712F1" w:rsidTr="008712F1">
        <w:tc>
          <w:tcPr>
            <w:tcW w:w="846" w:type="dxa"/>
          </w:tcPr>
          <w:p w:rsidR="008712F1" w:rsidRPr="00DF0B94" w:rsidRDefault="008712F1" w:rsidP="00DF0B94">
            <w:pPr>
              <w:pStyle w:val="ListParagraph"/>
              <w:numPr>
                <w:ilvl w:val="0"/>
                <w:numId w:val="5"/>
              </w:numPr>
              <w:jc w:val="both"/>
              <w:rPr>
                <w:rFonts w:ascii="Arial" w:hAnsi="Arial" w:cs="Arial"/>
                <w:bCs/>
                <w:color w:val="000000"/>
                <w:sz w:val="20"/>
                <w:szCs w:val="20"/>
              </w:rPr>
            </w:pPr>
          </w:p>
        </w:tc>
        <w:tc>
          <w:tcPr>
            <w:tcW w:w="8170" w:type="dxa"/>
          </w:tcPr>
          <w:p w:rsidR="008712F1" w:rsidRPr="00DF0B94" w:rsidRDefault="00DF0B94" w:rsidP="008712F1">
            <w:pPr>
              <w:jc w:val="both"/>
              <w:rPr>
                <w:rFonts w:ascii="Arial" w:hAnsi="Arial" w:cs="Arial"/>
                <w:bCs/>
                <w:color w:val="000000"/>
                <w:sz w:val="20"/>
                <w:szCs w:val="20"/>
              </w:rPr>
            </w:pPr>
            <w:r w:rsidRPr="00DF0B94">
              <w:rPr>
                <w:rFonts w:ascii="Arial" w:hAnsi="Arial" w:cs="Arial"/>
                <w:bCs/>
                <w:color w:val="000000"/>
                <w:sz w:val="20"/>
                <w:szCs w:val="20"/>
              </w:rPr>
              <w:t>Master Circular - Housing Finance for UCBs</w:t>
            </w:r>
          </w:p>
        </w:tc>
      </w:tr>
      <w:tr w:rsidR="00DF0B94" w:rsidTr="00151137">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Individual Housing loans – Enhancement in limits</w:t>
            </w:r>
          </w:p>
        </w:tc>
      </w:tr>
      <w:tr w:rsidR="00DF0B94" w:rsidTr="00151137">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Enhancement in Individual Housing Loan limits and credit to Commercial Real Estate - Residential Housing (CRE-RH)</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Housing Finance – Loans for repairs/additions/alterations - Enhancement of limits</w:t>
            </w:r>
          </w:p>
        </w:tc>
      </w:tr>
      <w:tr w:rsidR="00DF0B94" w:rsidTr="00FB589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New Definition of Micro, Small and Medium Enterprises - Clarification</w:t>
            </w:r>
          </w:p>
        </w:tc>
      </w:tr>
      <w:tr w:rsidR="00DF0B94" w:rsidTr="00FB589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proofErr w:type="spellStart"/>
            <w:r w:rsidRPr="00DF0B94">
              <w:rPr>
                <w:rFonts w:ascii="Arial" w:hAnsi="Arial" w:cs="Arial"/>
                <w:color w:val="000000"/>
                <w:sz w:val="20"/>
                <w:szCs w:val="20"/>
              </w:rPr>
              <w:t>Kisan</w:t>
            </w:r>
            <w:proofErr w:type="spellEnd"/>
            <w:r w:rsidRPr="00DF0B94">
              <w:rPr>
                <w:rFonts w:ascii="Arial" w:hAnsi="Arial" w:cs="Arial"/>
                <w:color w:val="000000"/>
                <w:sz w:val="20"/>
                <w:szCs w:val="20"/>
              </w:rPr>
              <w:t xml:space="preserve"> Credit Card Scheme - Eligibility criteria for farmers engaged in fisheries/ aquaculture</w:t>
            </w:r>
          </w:p>
        </w:tc>
      </w:tr>
      <w:tr w:rsidR="00DF0B94" w:rsidTr="00FB589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Lending by Commercial Banks to NBFCs and Small Finance Banks (SFBs) to NBFC-MFIs, for the purpose of on-lending to priority sectors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 xml:space="preserve">Modified Interest Subvention Scheme for Short Term Loans for Agriculture and Allied Activities availed through </w:t>
            </w:r>
            <w:proofErr w:type="spellStart"/>
            <w:r w:rsidRPr="00DF0B94">
              <w:rPr>
                <w:rFonts w:ascii="Arial" w:hAnsi="Arial" w:cs="Arial"/>
                <w:bCs/>
                <w:color w:val="000000"/>
                <w:sz w:val="20"/>
                <w:szCs w:val="20"/>
              </w:rPr>
              <w:t>Kisan</w:t>
            </w:r>
            <w:proofErr w:type="spellEnd"/>
            <w:r w:rsidRPr="00DF0B94">
              <w:rPr>
                <w:rFonts w:ascii="Arial" w:hAnsi="Arial" w:cs="Arial"/>
                <w:bCs/>
                <w:color w:val="000000"/>
                <w:sz w:val="20"/>
                <w:szCs w:val="20"/>
              </w:rPr>
              <w:t xml:space="preserve"> Credit Card (KCC) during the financial year 2021-22</w:t>
            </w:r>
          </w:p>
        </w:tc>
        <w:bookmarkStart w:id="0" w:name="_GoBack"/>
        <w:bookmarkEnd w:id="0"/>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Issue and regulation of share capital and securities - State Co-operative Banks and District Central Co-operative Banks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Loans and Advances – Regulatory Restrictions – NBFCs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Disclosures in Financial Statements- Notes to Accounts of NBFCs</w:t>
            </w:r>
          </w:p>
        </w:tc>
      </w:tr>
      <w:tr w:rsidR="00DF0B94" w:rsidTr="00B23BA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Section 24 and Section 56 of the Banking Regulation Act, 1949 – Maintenance of Statutory Liquidity Ratio (SLR)</w:t>
            </w:r>
          </w:p>
        </w:tc>
      </w:tr>
      <w:tr w:rsidR="00DF0B94" w:rsidTr="00B23BA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Master Circular - Management of Advances – UCBs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Master Circular - Income Recognition, Asset Classification, Provisioning and Other Related Matters – UCBs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Master Circular - Prudential norms on Income Recognition, Asset Classification and Provisioning pertaining to Advances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Master Circular - Guarantees, Co-Acceptances &amp; Letters of Credit – UCBs</w:t>
            </w:r>
          </w:p>
        </w:tc>
      </w:tr>
      <w:tr w:rsidR="00DF0B94" w:rsidTr="008712F1">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Pr>
          <w:p w:rsidR="00DF0B94" w:rsidRPr="00DF0B94" w:rsidRDefault="00DF0B94" w:rsidP="00DF0B94">
            <w:pPr>
              <w:jc w:val="both"/>
              <w:rPr>
                <w:rFonts w:ascii="Arial" w:hAnsi="Arial" w:cs="Arial"/>
                <w:bCs/>
                <w:color w:val="000000"/>
                <w:sz w:val="20"/>
                <w:szCs w:val="20"/>
              </w:rPr>
            </w:pPr>
            <w:r w:rsidRPr="00DF0B94">
              <w:rPr>
                <w:rFonts w:ascii="Arial" w:hAnsi="Arial" w:cs="Arial"/>
                <w:bCs/>
                <w:color w:val="000000"/>
                <w:sz w:val="20"/>
                <w:szCs w:val="20"/>
              </w:rPr>
              <w:t>Master Direction – Reserve Bank of India (Regulatory Framework for Microfinance Loans) Directions, 2022</w:t>
            </w:r>
          </w:p>
        </w:tc>
      </w:tr>
      <w:tr w:rsidR="00DF0B94" w:rsidTr="00950325">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Issue and regulation of share capital and securities - Primary (Urban) Co-operative Banks</w:t>
            </w:r>
          </w:p>
        </w:tc>
      </w:tr>
      <w:tr w:rsidR="00DF0B94" w:rsidTr="00950325">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Investment in Umbrella Organization (UO) by Primary (Urban) Co-operative Banks</w:t>
            </w:r>
          </w:p>
        </w:tc>
      </w:tr>
      <w:tr w:rsidR="00DF0B94" w:rsidTr="005876B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New Definition of Micro, Small and Medium Enterprises – Clarification</w:t>
            </w:r>
          </w:p>
        </w:tc>
      </w:tr>
      <w:tr w:rsidR="00DF0B94" w:rsidTr="005876BA">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Prudential norms on Income Recognition, Asset Classification and Provisioning pertaining to Advances – Clarifications</w:t>
            </w:r>
          </w:p>
        </w:tc>
      </w:tr>
      <w:tr w:rsidR="00DF0B94" w:rsidTr="006F2B0F">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Registration of Assignment of Receivables (Reserve Bank) Regulations, 2022</w:t>
            </w:r>
          </w:p>
        </w:tc>
      </w:tr>
      <w:tr w:rsidR="00DF0B94" w:rsidTr="006F2B0F">
        <w:tc>
          <w:tcPr>
            <w:tcW w:w="846" w:type="dxa"/>
          </w:tcPr>
          <w:p w:rsidR="00DF0B94" w:rsidRPr="00DF0B94" w:rsidRDefault="00DF0B94" w:rsidP="00DF0B94">
            <w:pPr>
              <w:pStyle w:val="ListParagraph"/>
              <w:numPr>
                <w:ilvl w:val="0"/>
                <w:numId w:val="5"/>
              </w:numPr>
              <w:jc w:val="both"/>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DF0B94" w:rsidRPr="00DF0B94" w:rsidRDefault="00DF0B94" w:rsidP="00DF0B94">
            <w:pPr>
              <w:rPr>
                <w:rFonts w:ascii="Arial" w:hAnsi="Arial" w:cs="Arial"/>
                <w:color w:val="000000"/>
                <w:sz w:val="20"/>
                <w:szCs w:val="20"/>
              </w:rPr>
            </w:pPr>
            <w:r w:rsidRPr="00DF0B94">
              <w:rPr>
                <w:rFonts w:ascii="Arial" w:hAnsi="Arial" w:cs="Arial"/>
                <w:color w:val="000000"/>
                <w:sz w:val="20"/>
                <w:szCs w:val="20"/>
              </w:rPr>
              <w:t>Registration of Factors (Reserve Bank) Regulations, 2022</w:t>
            </w:r>
          </w:p>
        </w:tc>
      </w:tr>
    </w:tbl>
    <w:p w:rsidR="008712F1" w:rsidRDefault="008712F1" w:rsidP="008712F1">
      <w:pPr>
        <w:jc w:val="both"/>
        <w:rPr>
          <w:rFonts w:ascii="Arial" w:hAnsi="Arial" w:cs="Arial"/>
          <w:b/>
          <w:bCs/>
          <w:color w:val="000000"/>
          <w:sz w:val="20"/>
          <w:szCs w:val="20"/>
        </w:rPr>
      </w:pPr>
    </w:p>
    <w:p w:rsidR="008712F1" w:rsidRDefault="008712F1" w:rsidP="008712F1">
      <w:pPr>
        <w:jc w:val="both"/>
        <w:rPr>
          <w:rFonts w:ascii="Arial" w:hAnsi="Arial" w:cs="Arial"/>
          <w:b/>
          <w:bCs/>
          <w:color w:val="000000"/>
          <w:sz w:val="20"/>
          <w:szCs w:val="20"/>
        </w:rPr>
      </w:pPr>
    </w:p>
    <w:p w:rsidR="008712F1" w:rsidRPr="00470480" w:rsidRDefault="008712F1" w:rsidP="008712F1">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8712F1" w:rsidRPr="00470480" w:rsidRDefault="008712F1" w:rsidP="008712F1">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8712F1" w:rsidRPr="00470480" w:rsidRDefault="008712F1" w:rsidP="008712F1">
      <w:pPr>
        <w:jc w:val="both"/>
        <w:rPr>
          <w:rFonts w:ascii="Arial" w:hAnsi="Arial" w:cs="Arial"/>
          <w:sz w:val="20"/>
          <w:szCs w:val="20"/>
        </w:rPr>
      </w:pPr>
      <w:r w:rsidRPr="00470480">
        <w:rPr>
          <w:rFonts w:ascii="Arial" w:hAnsi="Arial" w:cs="Arial"/>
          <w:sz w:val="20"/>
          <w:szCs w:val="20"/>
        </w:rPr>
        <w:t>June 28, 2022</w:t>
      </w:r>
    </w:p>
    <w:p w:rsidR="008712F1" w:rsidRPr="00470480" w:rsidRDefault="008712F1" w:rsidP="008712F1">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8712F1" w:rsidRPr="00470480" w:rsidRDefault="008712F1" w:rsidP="008712F1">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8712F1" w:rsidRPr="00470480" w:rsidRDefault="008712F1" w:rsidP="008712F1">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8712F1" w:rsidRPr="00470480" w:rsidRDefault="008712F1" w:rsidP="008712F1">
      <w:pPr>
        <w:jc w:val="both"/>
        <w:rPr>
          <w:rFonts w:ascii="Arial" w:hAnsi="Arial" w:cs="Arial"/>
          <w:sz w:val="20"/>
          <w:szCs w:val="20"/>
        </w:rPr>
      </w:pPr>
      <w:r w:rsidRPr="00470480">
        <w:rPr>
          <w:rFonts w:ascii="Arial" w:hAnsi="Arial" w:cs="Arial"/>
          <w:sz w:val="20"/>
          <w:szCs w:val="20"/>
        </w:rPr>
        <w:lastRenderedPageBreak/>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8712F1" w:rsidRPr="00470480" w:rsidRDefault="008712F1" w:rsidP="008712F1">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8712F1" w:rsidRPr="00470480" w:rsidRDefault="008712F1" w:rsidP="008712F1">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8712F1" w:rsidRPr="00470480" w:rsidRDefault="008712F1" w:rsidP="008712F1">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8712F1" w:rsidRPr="00470480" w:rsidRDefault="008712F1" w:rsidP="008712F1">
      <w:pPr>
        <w:jc w:val="both"/>
        <w:rPr>
          <w:rFonts w:ascii="Arial" w:hAnsi="Arial" w:cs="Arial"/>
          <w:sz w:val="20"/>
          <w:szCs w:val="20"/>
        </w:rPr>
      </w:pPr>
      <w:r w:rsidRPr="00470480">
        <w:rPr>
          <w:rFonts w:ascii="Arial" w:hAnsi="Arial" w:cs="Arial"/>
          <w:sz w:val="20"/>
          <w:szCs w:val="20"/>
        </w:rPr>
        <w:t>4. Valuation of investments in SRs made after the issuance of MD-TLE shall be strictly in terms of the provisions thereunder.</w:t>
      </w:r>
    </w:p>
    <w:p w:rsidR="008712F1" w:rsidRPr="00470480" w:rsidRDefault="008712F1" w:rsidP="008712F1">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8712F1" w:rsidRPr="00470480" w:rsidRDefault="008712F1" w:rsidP="008712F1">
      <w:pPr>
        <w:jc w:val="both"/>
        <w:rPr>
          <w:rFonts w:ascii="Arial" w:hAnsi="Arial" w:cs="Arial"/>
          <w:sz w:val="20"/>
          <w:szCs w:val="20"/>
        </w:rPr>
      </w:pPr>
      <w:r w:rsidRPr="00470480">
        <w:rPr>
          <w:rFonts w:ascii="Arial" w:hAnsi="Arial" w:cs="Arial"/>
          <w:sz w:val="20"/>
          <w:szCs w:val="20"/>
        </w:rPr>
        <w:t>Yours faithfully,</w:t>
      </w:r>
    </w:p>
    <w:p w:rsidR="008712F1" w:rsidRPr="00470480" w:rsidRDefault="008712F1" w:rsidP="008712F1">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8712F1" w:rsidRPr="00470480" w:rsidRDefault="008712F1" w:rsidP="008712F1">
      <w:pPr>
        <w:jc w:val="both"/>
        <w:rPr>
          <w:rFonts w:ascii="Arial" w:hAnsi="Arial" w:cs="Arial"/>
          <w:sz w:val="20"/>
          <w:szCs w:val="20"/>
        </w:rPr>
      </w:pPr>
    </w:p>
    <w:p w:rsidR="008712F1" w:rsidRPr="00470480" w:rsidRDefault="008712F1" w:rsidP="008712F1">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8712F1" w:rsidRPr="00470480" w:rsidRDefault="008712F1" w:rsidP="008712F1">
      <w:pPr>
        <w:rPr>
          <w:rFonts w:ascii="Arial" w:hAnsi="Arial" w:cs="Arial"/>
          <w:sz w:val="20"/>
          <w:szCs w:val="20"/>
        </w:rPr>
      </w:pPr>
    </w:p>
    <w:p w:rsidR="008712F1" w:rsidRPr="00470480" w:rsidRDefault="008712F1" w:rsidP="008712F1">
      <w:pPr>
        <w:rPr>
          <w:rFonts w:ascii="Arial" w:hAnsi="Arial" w:cs="Arial"/>
          <w:sz w:val="20"/>
          <w:szCs w:val="20"/>
        </w:rPr>
      </w:pPr>
    </w:p>
    <w:p w:rsidR="008712F1" w:rsidRDefault="008712F1">
      <w:pPr>
        <w:rPr>
          <w:b/>
        </w:rPr>
      </w:pPr>
      <w:r>
        <w:rPr>
          <w:b/>
        </w:rPr>
        <w:br w:type="page"/>
      </w:r>
    </w:p>
    <w:p w:rsidR="008712F1" w:rsidRPr="00470480" w:rsidRDefault="008712F1" w:rsidP="008712F1">
      <w:pPr>
        <w:jc w:val="both"/>
        <w:rPr>
          <w:rFonts w:ascii="Arial" w:hAnsi="Arial" w:cs="Arial"/>
          <w:b/>
          <w:bCs/>
          <w:color w:val="000000"/>
          <w:sz w:val="20"/>
          <w:szCs w:val="20"/>
        </w:rPr>
      </w:pPr>
      <w:r w:rsidRPr="00470480">
        <w:rPr>
          <w:rFonts w:ascii="Arial" w:hAnsi="Arial" w:cs="Arial"/>
          <w:b/>
          <w:bCs/>
          <w:color w:val="000000"/>
          <w:sz w:val="20"/>
          <w:szCs w:val="20"/>
        </w:rPr>
        <w:lastRenderedPageBreak/>
        <w:t xml:space="preserve">Master Circular - Housing Finance for UCBs </w:t>
      </w:r>
    </w:p>
    <w:p w:rsidR="008712F1" w:rsidRPr="00470480" w:rsidRDefault="008712F1" w:rsidP="008712F1">
      <w:pPr>
        <w:jc w:val="both"/>
        <w:rPr>
          <w:rFonts w:ascii="Arial" w:hAnsi="Arial" w:cs="Arial"/>
          <w:sz w:val="20"/>
          <w:szCs w:val="20"/>
        </w:rPr>
      </w:pPr>
      <w:r w:rsidRPr="00470480">
        <w:rPr>
          <w:rFonts w:ascii="Arial" w:hAnsi="Arial" w:cs="Arial"/>
          <w:sz w:val="20"/>
          <w:szCs w:val="20"/>
        </w:rPr>
        <w:t>RBI/2022-23/76</w:t>
      </w:r>
      <w:r w:rsidRPr="00470480">
        <w:rPr>
          <w:rFonts w:ascii="Arial" w:hAnsi="Arial" w:cs="Arial"/>
          <w:sz w:val="20"/>
          <w:szCs w:val="20"/>
        </w:rPr>
        <w:br/>
        <w:t>DOR.CRE.REC.No.49/09.22.010/2022-23</w:t>
      </w:r>
    </w:p>
    <w:p w:rsidR="008712F1" w:rsidRPr="00470480" w:rsidRDefault="008712F1" w:rsidP="008712F1">
      <w:pPr>
        <w:jc w:val="both"/>
        <w:rPr>
          <w:rFonts w:ascii="Arial" w:hAnsi="Arial" w:cs="Arial"/>
          <w:sz w:val="20"/>
          <w:szCs w:val="20"/>
        </w:rPr>
      </w:pPr>
      <w:r w:rsidRPr="00470480">
        <w:rPr>
          <w:rFonts w:ascii="Arial" w:hAnsi="Arial" w:cs="Arial"/>
          <w:sz w:val="20"/>
          <w:szCs w:val="20"/>
        </w:rPr>
        <w:t>June 23, 2022</w:t>
      </w:r>
    </w:p>
    <w:p w:rsidR="008712F1" w:rsidRPr="00470480" w:rsidRDefault="008712F1" w:rsidP="008712F1">
      <w:pPr>
        <w:jc w:val="both"/>
        <w:rPr>
          <w:rFonts w:ascii="Arial" w:hAnsi="Arial" w:cs="Arial"/>
          <w:sz w:val="20"/>
          <w:szCs w:val="20"/>
        </w:rPr>
      </w:pPr>
      <w:r w:rsidRPr="00470480">
        <w:rPr>
          <w:rFonts w:ascii="Arial" w:hAnsi="Arial" w:cs="Arial"/>
          <w:sz w:val="20"/>
          <w:szCs w:val="20"/>
        </w:rPr>
        <w:t>All Primary (Urban) Co-operative Banks</w:t>
      </w:r>
    </w:p>
    <w:p w:rsidR="008712F1" w:rsidRPr="00470480" w:rsidRDefault="008712F1" w:rsidP="008712F1">
      <w:pPr>
        <w:jc w:val="both"/>
        <w:rPr>
          <w:rFonts w:ascii="Arial" w:hAnsi="Arial" w:cs="Arial"/>
          <w:sz w:val="20"/>
          <w:szCs w:val="20"/>
        </w:rPr>
      </w:pPr>
      <w:r w:rsidRPr="00470480">
        <w:rPr>
          <w:rFonts w:ascii="Arial" w:hAnsi="Arial" w:cs="Arial"/>
          <w:sz w:val="20"/>
          <w:szCs w:val="20"/>
        </w:rPr>
        <w:t>Madam/Dear Sir,</w:t>
      </w:r>
    </w:p>
    <w:p w:rsidR="008712F1" w:rsidRPr="00470480" w:rsidRDefault="008712F1" w:rsidP="008712F1">
      <w:pPr>
        <w:jc w:val="both"/>
        <w:rPr>
          <w:rFonts w:ascii="Arial" w:hAnsi="Arial" w:cs="Arial"/>
          <w:b/>
          <w:bCs/>
          <w:sz w:val="20"/>
          <w:szCs w:val="20"/>
        </w:rPr>
      </w:pPr>
      <w:r w:rsidRPr="00470480">
        <w:rPr>
          <w:rFonts w:ascii="Arial" w:hAnsi="Arial" w:cs="Arial"/>
          <w:b/>
          <w:bCs/>
          <w:sz w:val="20"/>
          <w:szCs w:val="20"/>
        </w:rPr>
        <w:t>Master Circular - Housing Finance for UCBs</w:t>
      </w:r>
    </w:p>
    <w:p w:rsidR="008712F1" w:rsidRPr="00470480" w:rsidRDefault="008712F1" w:rsidP="008712F1">
      <w:pPr>
        <w:jc w:val="both"/>
        <w:rPr>
          <w:rFonts w:ascii="Arial" w:hAnsi="Arial" w:cs="Arial"/>
          <w:sz w:val="20"/>
          <w:szCs w:val="20"/>
        </w:rPr>
      </w:pPr>
      <w:r w:rsidRPr="00470480">
        <w:rPr>
          <w:rFonts w:ascii="Arial" w:hAnsi="Arial" w:cs="Arial"/>
          <w:sz w:val="20"/>
          <w:szCs w:val="20"/>
        </w:rPr>
        <w:t>Please refer to our </w:t>
      </w:r>
      <w:hyperlink r:id="rId8" w:tgtFrame="_blank" w:history="1">
        <w:r w:rsidRPr="00470480">
          <w:rPr>
            <w:rStyle w:val="Hyperlink"/>
            <w:rFonts w:ascii="Arial" w:hAnsi="Arial" w:cs="Arial"/>
            <w:sz w:val="20"/>
            <w:szCs w:val="20"/>
          </w:rPr>
          <w:t>Master Circular DCBR.BPD.(PCB) MC No.9/09.22.010/2015-16 dated July 1, 2015</w:t>
        </w:r>
      </w:hyperlink>
      <w:r w:rsidRPr="00470480">
        <w:rPr>
          <w:rFonts w:ascii="Arial" w:hAnsi="Arial" w:cs="Arial"/>
          <w:sz w:val="20"/>
          <w:szCs w:val="20"/>
        </w:rPr>
        <w:t> on the captioned subject (available at RBI website </w:t>
      </w:r>
      <w:hyperlink r:id="rId9" w:tgtFrame="_blank" w:history="1">
        <w:r w:rsidRPr="00470480">
          <w:rPr>
            <w:rStyle w:val="Hyperlink"/>
            <w:rFonts w:ascii="Arial" w:hAnsi="Arial" w:cs="Arial"/>
            <w:sz w:val="20"/>
            <w:szCs w:val="20"/>
          </w:rPr>
          <w:t>https://rbi.org.in/</w:t>
        </w:r>
      </w:hyperlink>
      <w:r w:rsidRPr="00470480">
        <w:rPr>
          <w:rFonts w:ascii="Arial" w:hAnsi="Arial" w:cs="Arial"/>
          <w:sz w:val="20"/>
          <w:szCs w:val="20"/>
        </w:rPr>
        <w:t>). The enclosed </w:t>
      </w:r>
      <w:hyperlink r:id="rId10" w:anchor="MC" w:history="1">
        <w:r w:rsidRPr="00470480">
          <w:rPr>
            <w:rStyle w:val="Hyperlink"/>
            <w:rFonts w:ascii="Arial" w:hAnsi="Arial" w:cs="Arial"/>
            <w:sz w:val="20"/>
            <w:szCs w:val="20"/>
          </w:rPr>
          <w:t>Master Circular</w:t>
        </w:r>
      </w:hyperlink>
      <w:r w:rsidRPr="00470480">
        <w:rPr>
          <w:rFonts w:ascii="Arial" w:hAnsi="Arial" w:cs="Arial"/>
          <w:sz w:val="20"/>
          <w:szCs w:val="20"/>
        </w:rPr>
        <w:t> consolidates and updates all the instructions / guidelines on the subject issued till date.</w:t>
      </w:r>
    </w:p>
    <w:p w:rsidR="008712F1" w:rsidRPr="00470480" w:rsidRDefault="008712F1" w:rsidP="008712F1">
      <w:pPr>
        <w:jc w:val="both"/>
        <w:rPr>
          <w:rFonts w:ascii="Arial" w:hAnsi="Arial" w:cs="Arial"/>
          <w:sz w:val="20"/>
          <w:szCs w:val="20"/>
        </w:rPr>
      </w:pPr>
      <w:r w:rsidRPr="00470480">
        <w:rPr>
          <w:rFonts w:ascii="Arial" w:hAnsi="Arial" w:cs="Arial"/>
          <w:sz w:val="20"/>
          <w:szCs w:val="20"/>
        </w:rPr>
        <w:t>Yours faithfully</w:t>
      </w:r>
    </w:p>
    <w:p w:rsidR="008712F1" w:rsidRPr="00470480" w:rsidRDefault="008712F1" w:rsidP="008712F1">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8712F1" w:rsidRPr="00470480" w:rsidRDefault="008712F1" w:rsidP="008712F1">
      <w:pPr>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8712F1" w:rsidRPr="00470480" w:rsidRDefault="008712F1" w:rsidP="008712F1">
      <w:pPr>
        <w:jc w:val="center"/>
        <w:rPr>
          <w:rFonts w:ascii="Arial" w:hAnsi="Arial" w:cs="Arial"/>
          <w:b/>
          <w:bCs/>
          <w:sz w:val="20"/>
          <w:szCs w:val="20"/>
        </w:rPr>
      </w:pPr>
      <w:r w:rsidRPr="00470480">
        <w:rPr>
          <w:rFonts w:ascii="Arial" w:hAnsi="Arial" w:cs="Arial"/>
          <w:b/>
          <w:bCs/>
          <w:sz w:val="20"/>
          <w:szCs w:val="20"/>
        </w:rPr>
        <w:t>Master Circular</w:t>
      </w:r>
    </w:p>
    <w:p w:rsidR="008712F1" w:rsidRPr="00470480" w:rsidRDefault="008712F1" w:rsidP="008712F1">
      <w:pPr>
        <w:jc w:val="center"/>
        <w:rPr>
          <w:rFonts w:ascii="Arial" w:hAnsi="Arial" w:cs="Arial"/>
          <w:b/>
          <w:bCs/>
          <w:sz w:val="20"/>
          <w:szCs w:val="20"/>
        </w:rPr>
      </w:pPr>
      <w:r w:rsidRPr="00470480">
        <w:rPr>
          <w:rFonts w:ascii="Arial" w:hAnsi="Arial" w:cs="Arial"/>
          <w:b/>
          <w:bCs/>
          <w:sz w:val="20"/>
          <w:szCs w:val="20"/>
        </w:rPr>
        <w:t>Housing Finance for UCBs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4"/>
        <w:gridCol w:w="5613"/>
      </w:tblGrid>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b/>
                <w:bCs/>
                <w:sz w:val="20"/>
                <w:szCs w:val="20"/>
              </w:rPr>
            </w:pPr>
            <w:r w:rsidRPr="00470480">
              <w:rPr>
                <w:rFonts w:ascii="Arial" w:hAnsi="Arial" w:cs="Arial"/>
                <w:b/>
                <w:bCs/>
                <w:sz w:val="20"/>
                <w:szCs w:val="20"/>
              </w:rPr>
              <w:t>Contents</w:t>
            </w:r>
          </w:p>
        </w:tc>
      </w:tr>
      <w:tr w:rsidR="008712F1" w:rsidRPr="00470480" w:rsidTr="008712F1">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1</w:t>
            </w:r>
          </w:p>
        </w:tc>
        <w:tc>
          <w:tcPr>
            <w:tcW w:w="4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1" w:anchor="1" w:history="1">
              <w:r w:rsidRPr="00470480">
                <w:rPr>
                  <w:rStyle w:val="Hyperlink"/>
                  <w:rFonts w:ascii="Arial" w:hAnsi="Arial" w:cs="Arial"/>
                  <w:sz w:val="20"/>
                  <w:szCs w:val="20"/>
                </w:rPr>
                <w:t>General</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2" w:anchor="2" w:history="1">
              <w:r w:rsidRPr="00470480">
                <w:rPr>
                  <w:rStyle w:val="Hyperlink"/>
                  <w:rFonts w:ascii="Arial" w:hAnsi="Arial" w:cs="Arial"/>
                  <w:sz w:val="20"/>
                  <w:szCs w:val="20"/>
                </w:rPr>
                <w:t>Eligible Category of Borrowers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3" w:anchor="3" w:history="1">
              <w:r w:rsidRPr="00470480">
                <w:rPr>
                  <w:rStyle w:val="Hyperlink"/>
                  <w:rFonts w:ascii="Arial" w:hAnsi="Arial" w:cs="Arial"/>
                  <w:sz w:val="20"/>
                  <w:szCs w:val="20"/>
                </w:rPr>
                <w:t>Eligible Housing Schemes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4" w:anchor="4" w:history="1">
              <w:r w:rsidRPr="00470480">
                <w:rPr>
                  <w:rStyle w:val="Hyperlink"/>
                  <w:rFonts w:ascii="Arial" w:hAnsi="Arial" w:cs="Arial"/>
                  <w:sz w:val="20"/>
                  <w:szCs w:val="20"/>
                </w:rPr>
                <w:t>Terms and Conditions for Housing Loans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5" w:anchor="41" w:history="1">
              <w:r w:rsidRPr="00470480">
                <w:rPr>
                  <w:rStyle w:val="Hyperlink"/>
                  <w:rFonts w:ascii="Arial" w:hAnsi="Arial" w:cs="Arial"/>
                  <w:sz w:val="20"/>
                  <w:szCs w:val="20"/>
                </w:rPr>
                <w:t>Maximum Loan Amount and Margin</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6" w:anchor="42A" w:history="1">
              <w:r w:rsidRPr="00470480">
                <w:rPr>
                  <w:rStyle w:val="Hyperlink"/>
                  <w:rFonts w:ascii="Arial" w:hAnsi="Arial" w:cs="Arial"/>
                  <w:sz w:val="20"/>
                  <w:szCs w:val="20"/>
                </w:rPr>
                <w:t>A. Interest</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7" w:anchor="42B" w:history="1">
              <w:r w:rsidRPr="00470480">
                <w:rPr>
                  <w:rStyle w:val="Hyperlink"/>
                  <w:rFonts w:ascii="Arial" w:hAnsi="Arial" w:cs="Arial"/>
                  <w:sz w:val="20"/>
                  <w:szCs w:val="20"/>
                </w:rPr>
                <w:t>B. Foreclosure Charges / Prepayment Penalty</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8" w:anchor="43" w:history="1">
              <w:r w:rsidRPr="00470480">
                <w:rPr>
                  <w:rStyle w:val="Hyperlink"/>
                  <w:rFonts w:ascii="Arial" w:hAnsi="Arial" w:cs="Arial"/>
                  <w:sz w:val="20"/>
                  <w:szCs w:val="20"/>
                </w:rPr>
                <w:t>Charging of Penal Interest</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19" w:anchor="44" w:history="1">
              <w:r w:rsidRPr="00470480">
                <w:rPr>
                  <w:rStyle w:val="Hyperlink"/>
                  <w:rFonts w:ascii="Arial" w:hAnsi="Arial" w:cs="Arial"/>
                  <w:sz w:val="20"/>
                  <w:szCs w:val="20"/>
                </w:rPr>
                <w:t>Security</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0" w:anchor="45" w:history="1">
              <w:r w:rsidRPr="00470480">
                <w:rPr>
                  <w:rStyle w:val="Hyperlink"/>
                  <w:rFonts w:ascii="Arial" w:hAnsi="Arial" w:cs="Arial"/>
                  <w:sz w:val="20"/>
                  <w:szCs w:val="20"/>
                </w:rPr>
                <w:t>Period of Loan</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1" w:anchor="46" w:history="1">
              <w:r w:rsidRPr="00470480">
                <w:rPr>
                  <w:rStyle w:val="Hyperlink"/>
                  <w:rFonts w:ascii="Arial" w:hAnsi="Arial" w:cs="Arial"/>
                  <w:sz w:val="20"/>
                  <w:szCs w:val="20"/>
                </w:rPr>
                <w:t>Graduated Instalments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2" w:anchor="47" w:history="1">
              <w:r w:rsidRPr="00470480">
                <w:rPr>
                  <w:rStyle w:val="Hyperlink"/>
                  <w:rFonts w:ascii="Arial" w:hAnsi="Arial" w:cs="Arial"/>
                  <w:sz w:val="20"/>
                  <w:szCs w:val="20"/>
                </w:rPr>
                <w:t>Aggregate Limit for Housing Finance</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3" w:anchor="5" w:history="1">
              <w:r w:rsidRPr="00470480">
                <w:rPr>
                  <w:rStyle w:val="Hyperlink"/>
                  <w:rFonts w:ascii="Arial" w:hAnsi="Arial" w:cs="Arial"/>
                  <w:sz w:val="20"/>
                  <w:szCs w:val="20"/>
                </w:rPr>
                <w:t>Additional / Supplementary Finance</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4" w:anchor="6" w:history="1">
              <w:r w:rsidRPr="00470480">
                <w:rPr>
                  <w:rStyle w:val="Hyperlink"/>
                  <w:rFonts w:ascii="Arial" w:hAnsi="Arial" w:cs="Arial"/>
                  <w:sz w:val="20"/>
                  <w:szCs w:val="20"/>
                </w:rPr>
                <w:t>Lending to Housing Boards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5" w:anchor="7" w:history="1">
              <w:r w:rsidRPr="00470480">
                <w:rPr>
                  <w:rStyle w:val="Hyperlink"/>
                  <w:rFonts w:ascii="Arial" w:hAnsi="Arial" w:cs="Arial"/>
                  <w:sz w:val="20"/>
                  <w:szCs w:val="20"/>
                </w:rPr>
                <w:t>Advances to Builders / Contractors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6" w:anchor="8" w:history="1">
              <w:r w:rsidRPr="00470480">
                <w:rPr>
                  <w:rStyle w:val="Hyperlink"/>
                  <w:rFonts w:ascii="Arial" w:hAnsi="Arial" w:cs="Arial"/>
                  <w:sz w:val="20"/>
                  <w:szCs w:val="20"/>
                </w:rPr>
                <w:t>Housing Loans under Priority Sector</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7" w:anchor="9" w:history="1">
              <w:r w:rsidRPr="00470480">
                <w:rPr>
                  <w:rStyle w:val="Hyperlink"/>
                  <w:rFonts w:ascii="Arial" w:hAnsi="Arial" w:cs="Arial"/>
                  <w:sz w:val="20"/>
                  <w:szCs w:val="20"/>
                </w:rPr>
                <w:t>Precautions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8" w:anchor="10" w:history="1">
              <w:r w:rsidRPr="00470480">
                <w:rPr>
                  <w:rStyle w:val="Hyperlink"/>
                  <w:rFonts w:ascii="Arial" w:hAnsi="Arial" w:cs="Arial"/>
                  <w:sz w:val="20"/>
                  <w:szCs w:val="20"/>
                </w:rPr>
                <w:t>National Building Code</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lastRenderedPageBreak/>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29" w:anchor="AN1" w:history="1">
              <w:r w:rsidRPr="00470480">
                <w:rPr>
                  <w:rStyle w:val="Hyperlink"/>
                  <w:rFonts w:ascii="Arial" w:hAnsi="Arial" w:cs="Arial"/>
                  <w:sz w:val="20"/>
                  <w:szCs w:val="20"/>
                </w:rPr>
                <w:t>Annex 1</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30" w:anchor="AN2" w:history="1">
              <w:r w:rsidRPr="00470480">
                <w:rPr>
                  <w:rStyle w:val="Hyperlink"/>
                  <w:rFonts w:ascii="Arial" w:hAnsi="Arial" w:cs="Arial"/>
                  <w:sz w:val="20"/>
                  <w:szCs w:val="20"/>
                </w:rPr>
                <w:t>Annex 2</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sz w:val="20"/>
                <w:szCs w:val="20"/>
              </w:rPr>
            </w:pPr>
            <w:hyperlink r:id="rId31" w:anchor="AP" w:history="1">
              <w:r w:rsidRPr="00470480">
                <w:rPr>
                  <w:rStyle w:val="Hyperlink"/>
                  <w:rFonts w:ascii="Arial" w:hAnsi="Arial" w:cs="Arial"/>
                  <w:sz w:val="20"/>
                  <w:szCs w:val="20"/>
                </w:rPr>
                <w:t>Appendix</w:t>
              </w:r>
            </w:hyperlink>
          </w:p>
        </w:tc>
      </w:tr>
    </w:tbl>
    <w:p w:rsidR="008712F1" w:rsidRDefault="008712F1" w:rsidP="008712F1">
      <w:pPr>
        <w:jc w:val="both"/>
        <w:rPr>
          <w:rFonts w:ascii="Arial" w:hAnsi="Arial" w:cs="Arial"/>
          <w:b/>
          <w:bCs/>
          <w:sz w:val="20"/>
          <w:szCs w:val="20"/>
        </w:rPr>
      </w:pPr>
    </w:p>
    <w:p w:rsidR="008712F1" w:rsidRDefault="008712F1" w:rsidP="008712F1">
      <w:pPr>
        <w:jc w:val="both"/>
        <w:rPr>
          <w:rFonts w:ascii="Arial" w:hAnsi="Arial" w:cs="Arial"/>
          <w:sz w:val="20"/>
          <w:szCs w:val="20"/>
        </w:rPr>
      </w:pPr>
    </w:p>
    <w:p w:rsidR="008712F1" w:rsidRPr="00BA5B87" w:rsidRDefault="008712F1" w:rsidP="008712F1">
      <w:pPr>
        <w:jc w:val="both"/>
        <w:rPr>
          <w:rFonts w:ascii="Arial" w:hAnsi="Arial" w:cs="Arial"/>
          <w:sz w:val="20"/>
          <w:szCs w:val="20"/>
        </w:rPr>
      </w:pPr>
      <w:r w:rsidRPr="00BA5B87">
        <w:rPr>
          <w:rFonts w:ascii="Arial" w:hAnsi="Arial" w:cs="Arial"/>
          <w:sz w:val="20"/>
          <w:szCs w:val="20"/>
        </w:rPr>
        <w:t xml:space="preserve">Details under each of the above </w:t>
      </w:r>
      <w:r>
        <w:rPr>
          <w:rFonts w:ascii="Arial" w:hAnsi="Arial" w:cs="Arial"/>
          <w:sz w:val="20"/>
          <w:szCs w:val="20"/>
        </w:rPr>
        <w:t xml:space="preserve">headings </w:t>
      </w:r>
      <w:r w:rsidRPr="00BA5B87">
        <w:rPr>
          <w:rFonts w:ascii="Arial" w:hAnsi="Arial" w:cs="Arial"/>
          <w:sz w:val="20"/>
          <w:szCs w:val="20"/>
        </w:rPr>
        <w:t>can be read from the below link</w:t>
      </w:r>
      <w:r>
        <w:rPr>
          <w:rFonts w:ascii="Arial" w:hAnsi="Arial" w:cs="Arial"/>
          <w:sz w:val="20"/>
          <w:szCs w:val="20"/>
        </w:rPr>
        <w:t>.</w:t>
      </w:r>
    </w:p>
    <w:p w:rsidR="008712F1" w:rsidRPr="00470480" w:rsidRDefault="008712F1" w:rsidP="008712F1">
      <w:pPr>
        <w:jc w:val="both"/>
        <w:rPr>
          <w:rFonts w:ascii="Arial" w:hAnsi="Arial" w:cs="Arial"/>
          <w:sz w:val="20"/>
          <w:szCs w:val="20"/>
        </w:rPr>
      </w:pPr>
      <w:r w:rsidRPr="00470480">
        <w:rPr>
          <w:rFonts w:ascii="Arial" w:hAnsi="Arial" w:cs="Arial"/>
          <w:sz w:val="20"/>
          <w:szCs w:val="20"/>
        </w:rPr>
        <w:t xml:space="preserve">Reference Link: </w:t>
      </w:r>
      <w:hyperlink r:id="rId32" w:history="1">
        <w:r w:rsidRPr="00470480">
          <w:rPr>
            <w:rStyle w:val="Hyperlink"/>
            <w:rFonts w:ascii="Arial" w:hAnsi="Arial" w:cs="Arial"/>
            <w:sz w:val="20"/>
            <w:szCs w:val="20"/>
          </w:rPr>
          <w:t>https://www.rbi.org.in/Scripts/NotificationUser.aspx?Id=12344&amp;Mode=0</w:t>
        </w:r>
      </w:hyperlink>
    </w:p>
    <w:p w:rsidR="008712F1" w:rsidRPr="00470480" w:rsidRDefault="008712F1" w:rsidP="008712F1">
      <w:pPr>
        <w:jc w:val="both"/>
        <w:rPr>
          <w:rFonts w:ascii="Arial" w:hAnsi="Arial" w:cs="Arial"/>
          <w:sz w:val="20"/>
          <w:szCs w:val="20"/>
        </w:rPr>
      </w:pPr>
    </w:p>
    <w:p w:rsidR="008712F1" w:rsidRPr="00470480" w:rsidRDefault="008712F1" w:rsidP="008712F1">
      <w:pPr>
        <w:jc w:val="both"/>
        <w:rPr>
          <w:rFonts w:ascii="Arial" w:hAnsi="Arial" w:cs="Arial"/>
          <w:sz w:val="20"/>
          <w:szCs w:val="20"/>
        </w:rPr>
      </w:pPr>
    </w:p>
    <w:p w:rsidR="008712F1" w:rsidRPr="00470480" w:rsidRDefault="008712F1" w:rsidP="008712F1">
      <w:pPr>
        <w:jc w:val="both"/>
        <w:rPr>
          <w:rFonts w:ascii="Arial" w:hAnsi="Arial" w:cs="Arial"/>
          <w:sz w:val="20"/>
          <w:szCs w:val="20"/>
        </w:rPr>
      </w:pPr>
    </w:p>
    <w:p w:rsidR="008712F1" w:rsidRDefault="008712F1">
      <w:pPr>
        <w:rPr>
          <w:b/>
        </w:rPr>
      </w:pPr>
      <w:r>
        <w:rPr>
          <w:b/>
        </w:rPr>
        <w:br w:type="page"/>
      </w:r>
    </w:p>
    <w:p w:rsidR="008712F1" w:rsidRDefault="008712F1" w:rsidP="008712F1">
      <w:pPr>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RBI/2022-23/68</w:t>
      </w:r>
      <w:r w:rsidRPr="00470480">
        <w:rPr>
          <w:rFonts w:ascii="Arial" w:hAnsi="Arial" w:cs="Arial"/>
          <w:color w:val="000000"/>
          <w:sz w:val="20"/>
          <w:szCs w:val="20"/>
        </w:rPr>
        <w:br/>
        <w:t>DOR.CRE.REC.42/09.22.010/2022-23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June 08,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33" w:tgtFrame="_blank" w:history="1">
        <w:r w:rsidRPr="00470480">
          <w:rPr>
            <w:rStyle w:val="Hyperlink"/>
            <w:rFonts w:ascii="Arial" w:hAnsi="Arial" w:cs="Arial"/>
            <w:sz w:val="20"/>
            <w:szCs w:val="20"/>
          </w:rPr>
          <w:t>circular UBD.BPD.(PCB). Cir.No.7/09.22.010/2011-12 dated October 31, 2011</w:t>
        </w:r>
      </w:hyperlink>
      <w:r w:rsidRPr="00470480">
        <w:rPr>
          <w:rFonts w:ascii="Arial" w:hAnsi="Arial" w:cs="Arial"/>
          <w:color w:val="000000"/>
          <w:sz w:val="20"/>
          <w:szCs w:val="20"/>
        </w:rPr>
        <w:t> on the above subject.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As announced in the </w:t>
      </w:r>
      <w:hyperlink r:id="rId34"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w:t>
      </w:r>
      <w:hyperlink r:id="rId35" w:anchor="EXTRACT" w:history="1">
        <w:r w:rsidRPr="00470480">
          <w:rPr>
            <w:rStyle w:val="Hyperlink"/>
            <w:rFonts w:ascii="Arial" w:hAnsi="Arial" w:cs="Arial"/>
            <w:sz w:val="20"/>
            <w:szCs w:val="20"/>
          </w:rPr>
          <w:t>para no.1 annexed</w:t>
        </w:r>
      </w:hyperlink>
      <w:r w:rsidRPr="00470480">
        <w:rPr>
          <w:rFonts w:ascii="Arial" w:hAnsi="Arial" w:cs="Arial"/>
          <w:color w:val="000000"/>
          <w:sz w:val="20"/>
          <w:szCs w:val="20"/>
        </w:rPr>
        <w:t>), it has been decided to revise the limits on individual housing loans sanctioned by urban co-operative banks to an individual borrower as under: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40"/>
        <w:gridCol w:w="2234"/>
        <w:gridCol w:w="2234"/>
      </w:tblGrid>
      <w:tr w:rsidR="008712F1" w:rsidRPr="00470480" w:rsidTr="008712F1">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b/>
                <w:bCs/>
                <w:color w:val="000000"/>
                <w:sz w:val="20"/>
                <w:szCs w:val="20"/>
              </w:rPr>
            </w:pPr>
            <w:r w:rsidRPr="00470480">
              <w:rPr>
                <w:rFonts w:ascii="Arial" w:hAnsi="Arial" w:cs="Arial"/>
                <w:b/>
                <w:bCs/>
                <w:color w:val="000000"/>
                <w:sz w:val="20"/>
                <w:szCs w:val="20"/>
              </w:rPr>
              <w:t>Category of the bank</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b/>
                <w:bCs/>
                <w:color w:val="000000"/>
                <w:sz w:val="20"/>
                <w:szCs w:val="20"/>
              </w:rPr>
            </w:pPr>
            <w:r w:rsidRPr="00470480">
              <w:rPr>
                <w:rFonts w:ascii="Arial" w:hAnsi="Arial" w:cs="Arial"/>
                <w:b/>
                <w:bCs/>
                <w:color w:val="000000"/>
                <w:sz w:val="20"/>
                <w:szCs w:val="20"/>
              </w:rPr>
              <w:t>Existing Limit*</w:t>
            </w:r>
            <w:r w:rsidRPr="00470480">
              <w:rPr>
                <w:rFonts w:ascii="Arial" w:hAnsi="Arial" w:cs="Arial"/>
                <w:b/>
                <w:bCs/>
                <w:color w:val="000000"/>
                <w:sz w:val="20"/>
                <w:szCs w:val="20"/>
              </w:rPr>
              <w:br/>
              <w:t>(per individual borrower)</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b/>
                <w:bCs/>
                <w:color w:val="000000"/>
                <w:sz w:val="20"/>
                <w:szCs w:val="20"/>
              </w:rPr>
            </w:pPr>
            <w:r w:rsidRPr="00470480">
              <w:rPr>
                <w:rFonts w:ascii="Arial" w:hAnsi="Arial" w:cs="Arial"/>
                <w:b/>
                <w:bCs/>
                <w:color w:val="000000"/>
                <w:sz w:val="20"/>
                <w:szCs w:val="20"/>
              </w:rPr>
              <w:t>Revised Limit*</w:t>
            </w:r>
            <w:r w:rsidRPr="00470480">
              <w:rPr>
                <w:rFonts w:ascii="Arial" w:hAnsi="Arial" w:cs="Arial"/>
                <w:b/>
                <w:bCs/>
                <w:color w:val="000000"/>
                <w:sz w:val="20"/>
                <w:szCs w:val="20"/>
              </w:rPr>
              <w:br/>
              <w:t>(per individual borrower)</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r w:rsidRPr="00470480">
              <w:rPr>
                <w:rFonts w:ascii="Arial" w:hAnsi="Arial" w:cs="Arial"/>
                <w:color w:val="000000"/>
                <w:sz w:val="20"/>
                <w:szCs w:val="20"/>
              </w:rPr>
              <w:t>(a) Tier-I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₹60 lakh</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r w:rsidRPr="00470480">
              <w:rPr>
                <w:rFonts w:ascii="Arial" w:hAnsi="Arial" w:cs="Arial"/>
                <w:color w:val="000000"/>
                <w:sz w:val="20"/>
                <w:szCs w:val="20"/>
              </w:rPr>
              <w:t>(b) Tier-II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₹70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₹140 lakh</w:t>
            </w:r>
          </w:p>
        </w:tc>
      </w:tr>
      <w:tr w:rsidR="008712F1" w:rsidRPr="00470480" w:rsidTr="008712F1">
        <w:trPr>
          <w:jc w:val="center"/>
        </w:trPr>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r w:rsidRPr="00470480">
              <w:rPr>
                <w:rFonts w:ascii="Arial" w:hAnsi="Arial" w:cs="Arial"/>
                <w:color w:val="000000"/>
                <w:sz w:val="20"/>
                <w:szCs w:val="20"/>
              </w:rPr>
              <w:t>*subject to prescribed prudential exposure limits</w:t>
            </w:r>
          </w:p>
        </w:tc>
      </w:tr>
    </w:tbl>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All other extant instructions in the matter shall remain unchanged. The above instructions will come into effect from the date of this circular.</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Pr>
          <w:rFonts w:ascii="Arial" w:hAnsi="Arial" w:cs="Arial"/>
          <w:sz w:val="20"/>
          <w:szCs w:val="20"/>
        </w:rPr>
        <w:t>For ‘</w:t>
      </w:r>
      <w:r w:rsidRPr="00BA5B87">
        <w:rPr>
          <w:rFonts w:ascii="Arial" w:hAnsi="Arial" w:cs="Arial"/>
          <w:sz w:val="20"/>
          <w:szCs w:val="20"/>
        </w:rPr>
        <w:t>Extract from Statement on Developmental and Regulatory Policies June 08, 2022</w:t>
      </w:r>
      <w:r>
        <w:rPr>
          <w:rFonts w:ascii="Arial" w:hAnsi="Arial" w:cs="Arial"/>
          <w:sz w:val="20"/>
          <w:szCs w:val="20"/>
        </w:rPr>
        <w:t>’, please refer to the link below.</w:t>
      </w: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36" w:history="1">
        <w:r w:rsidRPr="00470480">
          <w:rPr>
            <w:rStyle w:val="Hyperlink"/>
            <w:rFonts w:ascii="Arial" w:hAnsi="Arial" w:cs="Arial"/>
            <w:sz w:val="20"/>
            <w:szCs w:val="20"/>
          </w:rPr>
          <w:t>https://www.rbi.org.in/Scripts/NotificationUser.aspx?Id=12336&amp;Mode=0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t>Enhancement in Individual Housing Loan limits and credit to Commercial Real Estate - Residential Housing (CRE-RH)</w:t>
      </w:r>
    </w:p>
    <w:p w:rsidR="008712F1" w:rsidRPr="00470480"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sz w:val="20"/>
          <w:szCs w:val="20"/>
        </w:rPr>
      </w:pPr>
      <w:r w:rsidRPr="00470480">
        <w:rPr>
          <w:rFonts w:ascii="Arial" w:hAnsi="Arial" w:cs="Arial"/>
          <w:sz w:val="20"/>
          <w:szCs w:val="20"/>
        </w:rPr>
        <w:t>RBI/2022-23/67</w:t>
      </w:r>
      <w:r w:rsidRPr="00470480">
        <w:rPr>
          <w:rFonts w:ascii="Arial" w:hAnsi="Arial" w:cs="Arial"/>
          <w:sz w:val="20"/>
          <w:szCs w:val="20"/>
        </w:rPr>
        <w:br/>
        <w:t>DOR.CRE.REC.43/09.22.010/2022-23</w:t>
      </w: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June 08, 2022</w:t>
      </w:r>
    </w:p>
    <w:p w:rsidR="008712F1" w:rsidRDefault="008712F1" w:rsidP="008712F1">
      <w:pPr>
        <w:spacing w:after="0"/>
        <w:rPr>
          <w:rFonts w:ascii="Arial" w:hAnsi="Arial" w:cs="Arial"/>
          <w:sz w:val="20"/>
          <w:szCs w:val="20"/>
        </w:rPr>
      </w:pPr>
    </w:p>
    <w:p w:rsidR="008712F1" w:rsidRDefault="008712F1" w:rsidP="008712F1">
      <w:pPr>
        <w:spacing w:after="0"/>
        <w:rPr>
          <w:rFonts w:ascii="Arial" w:hAnsi="Arial" w:cs="Arial"/>
          <w:sz w:val="20"/>
          <w:szCs w:val="20"/>
        </w:rPr>
      </w:pPr>
      <w:r w:rsidRPr="00470480">
        <w:rPr>
          <w:rFonts w:ascii="Arial" w:hAnsi="Arial" w:cs="Arial"/>
          <w:sz w:val="20"/>
          <w:szCs w:val="20"/>
        </w:rPr>
        <w:t>All State Co-operative Banks (</w:t>
      </w:r>
      <w:proofErr w:type="spellStart"/>
      <w:r w:rsidRPr="00470480">
        <w:rPr>
          <w:rFonts w:ascii="Arial" w:hAnsi="Arial" w:cs="Arial"/>
          <w:sz w:val="20"/>
          <w:szCs w:val="20"/>
        </w:rPr>
        <w:t>StCBs</w:t>
      </w:r>
      <w:proofErr w:type="spellEnd"/>
      <w:r w:rsidRPr="00470480">
        <w:rPr>
          <w:rFonts w:ascii="Arial" w:hAnsi="Arial" w:cs="Arial"/>
          <w:sz w:val="20"/>
          <w:szCs w:val="20"/>
        </w:rPr>
        <w:t>)</w:t>
      </w:r>
      <w:r w:rsidRPr="00470480">
        <w:rPr>
          <w:rFonts w:ascii="Arial" w:hAnsi="Arial" w:cs="Arial"/>
          <w:sz w:val="20"/>
          <w:szCs w:val="20"/>
        </w:rPr>
        <w:br/>
        <w:t>All District Central Co-operative Banks (DCCBs)</w:t>
      </w:r>
    </w:p>
    <w:p w:rsidR="008712F1" w:rsidRPr="00470480" w:rsidRDefault="008712F1" w:rsidP="008712F1">
      <w:pPr>
        <w:spacing w:after="0"/>
        <w:rPr>
          <w:rFonts w:ascii="Arial" w:hAnsi="Arial" w:cs="Arial"/>
          <w:sz w:val="20"/>
          <w:szCs w:val="20"/>
        </w:rPr>
      </w:pPr>
    </w:p>
    <w:p w:rsidR="008712F1" w:rsidRDefault="008712F1" w:rsidP="008712F1">
      <w:pPr>
        <w:spacing w:after="0"/>
        <w:jc w:val="both"/>
        <w:rPr>
          <w:rFonts w:ascii="Arial" w:hAnsi="Arial" w:cs="Arial"/>
          <w:sz w:val="20"/>
          <w:szCs w:val="20"/>
        </w:rPr>
      </w:pPr>
      <w:r w:rsidRPr="00470480">
        <w:rPr>
          <w:rFonts w:ascii="Arial" w:hAnsi="Arial" w:cs="Arial"/>
          <w:sz w:val="20"/>
          <w:szCs w:val="20"/>
        </w:rPr>
        <w:t>Madam / Dear Sir,</w:t>
      </w:r>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b/>
          <w:bCs/>
          <w:sz w:val="20"/>
          <w:szCs w:val="20"/>
        </w:rPr>
      </w:pPr>
      <w:r w:rsidRPr="00470480">
        <w:rPr>
          <w:rFonts w:ascii="Arial" w:hAnsi="Arial" w:cs="Arial"/>
          <w:b/>
          <w:bCs/>
          <w:sz w:val="20"/>
          <w:szCs w:val="20"/>
        </w:rPr>
        <w:t>Enhancement in Individual Housing Loan limits and credit to Commercial Real Estate - Residential Housing (CRE-RH)</w:t>
      </w:r>
    </w:p>
    <w:p w:rsidR="008712F1" w:rsidRPr="00470480" w:rsidRDefault="008712F1" w:rsidP="008712F1">
      <w:pPr>
        <w:spacing w:after="0"/>
        <w:jc w:val="both"/>
        <w:rPr>
          <w:rFonts w:ascii="Arial" w:hAnsi="Arial" w:cs="Arial"/>
          <w:b/>
          <w:bCs/>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Please refer to our </w:t>
      </w:r>
      <w:hyperlink r:id="rId37" w:tgtFrame="_blank" w:history="1">
        <w:r w:rsidRPr="00470480">
          <w:rPr>
            <w:rStyle w:val="Hyperlink"/>
            <w:rFonts w:ascii="Arial" w:hAnsi="Arial" w:cs="Arial"/>
            <w:sz w:val="20"/>
            <w:szCs w:val="20"/>
          </w:rPr>
          <w:t>circulars RPCD CO.RCBD.BC.No.15 /03.03.01/2009-10 dated August 13, 2009</w:t>
        </w:r>
      </w:hyperlink>
      <w:r w:rsidRPr="00470480">
        <w:rPr>
          <w:rFonts w:ascii="Arial" w:hAnsi="Arial" w:cs="Arial"/>
          <w:sz w:val="20"/>
          <w:szCs w:val="20"/>
        </w:rPr>
        <w:t>, </w:t>
      </w:r>
      <w:hyperlink r:id="rId38" w:tgtFrame="_blank" w:history="1">
        <w:r w:rsidRPr="00470480">
          <w:rPr>
            <w:rStyle w:val="Hyperlink"/>
            <w:rFonts w:ascii="Arial" w:hAnsi="Arial" w:cs="Arial"/>
            <w:sz w:val="20"/>
            <w:szCs w:val="20"/>
          </w:rPr>
          <w:t>RPCD.CO.RF.BC.No.109/07.38.01/2008-09 dated May 25, 2009</w:t>
        </w:r>
      </w:hyperlink>
      <w:r w:rsidRPr="00470480">
        <w:rPr>
          <w:rFonts w:ascii="Arial" w:hAnsi="Arial" w:cs="Arial"/>
          <w:sz w:val="20"/>
          <w:szCs w:val="20"/>
        </w:rPr>
        <w:t> and </w:t>
      </w:r>
      <w:hyperlink r:id="rId39" w:tgtFrame="_blank" w:history="1">
        <w:r w:rsidRPr="00470480">
          <w:rPr>
            <w:rStyle w:val="Hyperlink"/>
            <w:rFonts w:ascii="Arial" w:hAnsi="Arial" w:cs="Arial"/>
            <w:sz w:val="20"/>
            <w:szCs w:val="20"/>
          </w:rPr>
          <w:t xml:space="preserve">RPCD.CO.RCBD. </w:t>
        </w:r>
        <w:proofErr w:type="spellStart"/>
        <w:r w:rsidRPr="00470480">
          <w:rPr>
            <w:rStyle w:val="Hyperlink"/>
            <w:rFonts w:ascii="Arial" w:hAnsi="Arial" w:cs="Arial"/>
            <w:sz w:val="20"/>
            <w:szCs w:val="20"/>
          </w:rPr>
          <w:t>BC.No</w:t>
        </w:r>
        <w:proofErr w:type="spellEnd"/>
        <w:r w:rsidRPr="00470480">
          <w:rPr>
            <w:rStyle w:val="Hyperlink"/>
            <w:rFonts w:ascii="Arial" w:hAnsi="Arial" w:cs="Arial"/>
            <w:sz w:val="20"/>
            <w:szCs w:val="20"/>
          </w:rPr>
          <w:t>. 48 /03.03.01/2010-11 dated January 20, 2011</w:t>
        </w:r>
      </w:hyperlink>
      <w:r w:rsidRPr="00470480">
        <w:rPr>
          <w:rFonts w:ascii="Arial" w:hAnsi="Arial" w:cs="Arial"/>
          <w:sz w:val="20"/>
          <w:szCs w:val="20"/>
        </w:rPr>
        <w:t> issued on the above subject.</w:t>
      </w: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2. As announced in the </w:t>
      </w:r>
      <w:hyperlink r:id="rId4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sz w:val="20"/>
          <w:szCs w:val="20"/>
        </w:rPr>
        <w:t> (</w:t>
      </w:r>
      <w:hyperlink r:id="rId41" w:anchor="Extract" w:history="1">
        <w:r w:rsidRPr="00470480">
          <w:rPr>
            <w:rStyle w:val="Hyperlink"/>
            <w:rFonts w:ascii="Arial" w:hAnsi="Arial" w:cs="Arial"/>
            <w:sz w:val="20"/>
            <w:szCs w:val="20"/>
          </w:rPr>
          <w:t>para no.1 &amp; 2 annexed</w:t>
        </w:r>
      </w:hyperlink>
      <w:r w:rsidRPr="00470480">
        <w:rPr>
          <w:rFonts w:ascii="Arial" w:hAnsi="Arial" w:cs="Arial"/>
          <w:sz w:val="20"/>
          <w:szCs w:val="20"/>
        </w:rPr>
        <w:t>), it has been decided to revise the limits on residential housing loans sanctioned by rural co-operative banks to an individual borrower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89"/>
        <w:gridCol w:w="1685"/>
        <w:gridCol w:w="1685"/>
      </w:tblGrid>
      <w:tr w:rsidR="008712F1" w:rsidRPr="00470480" w:rsidTr="008712F1">
        <w:trPr>
          <w:jc w:val="center"/>
        </w:trPr>
        <w:tc>
          <w:tcPr>
            <w:tcW w:w="2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b/>
                <w:bCs/>
                <w:sz w:val="20"/>
                <w:szCs w:val="20"/>
              </w:rPr>
            </w:pPr>
            <w:r w:rsidRPr="00470480">
              <w:rPr>
                <w:rFonts w:ascii="Arial" w:hAnsi="Arial" w:cs="Arial"/>
                <w:b/>
                <w:bCs/>
                <w:sz w:val="20"/>
                <w:szCs w:val="20"/>
              </w:rPr>
              <w:t>Category of the bank</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b/>
                <w:bCs/>
                <w:sz w:val="20"/>
                <w:szCs w:val="20"/>
              </w:rPr>
            </w:pPr>
            <w:r w:rsidRPr="00470480">
              <w:rPr>
                <w:rFonts w:ascii="Arial" w:hAnsi="Arial" w:cs="Arial"/>
                <w:b/>
                <w:bCs/>
                <w:sz w:val="20"/>
                <w:szCs w:val="20"/>
              </w:rPr>
              <w:t>Existing Limit</w:t>
            </w:r>
            <w:r w:rsidRPr="00470480">
              <w:rPr>
                <w:rFonts w:ascii="Arial" w:hAnsi="Arial" w:cs="Arial"/>
                <w:b/>
                <w:bCs/>
                <w:sz w:val="20"/>
                <w:szCs w:val="20"/>
              </w:rPr>
              <w:br/>
              <w:t>(per individual borrower)</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b/>
                <w:bCs/>
                <w:sz w:val="20"/>
                <w:szCs w:val="20"/>
              </w:rPr>
            </w:pPr>
            <w:r w:rsidRPr="00470480">
              <w:rPr>
                <w:rFonts w:ascii="Arial" w:hAnsi="Arial" w:cs="Arial"/>
                <w:b/>
                <w:bCs/>
                <w:sz w:val="20"/>
                <w:szCs w:val="20"/>
              </w:rPr>
              <w:t>Revised Limit</w:t>
            </w:r>
            <w:r w:rsidRPr="00470480">
              <w:rPr>
                <w:rFonts w:ascii="Arial" w:hAnsi="Arial" w:cs="Arial"/>
                <w:b/>
                <w:bCs/>
                <w:sz w:val="20"/>
                <w:szCs w:val="20"/>
              </w:rPr>
              <w:br/>
              <w:t>(per individual borrower)</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(a)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less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₹20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₹50 lakh</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(b)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equal to or more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₹75 lakh</w:t>
            </w:r>
          </w:p>
        </w:tc>
      </w:tr>
    </w:tbl>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3. Further, it has been decided to allow </w:t>
      </w:r>
      <w:proofErr w:type="spellStart"/>
      <w:r w:rsidRPr="00470480">
        <w:rPr>
          <w:rFonts w:ascii="Arial" w:hAnsi="Arial" w:cs="Arial"/>
          <w:sz w:val="20"/>
          <w:szCs w:val="20"/>
        </w:rPr>
        <w:t>StCBs</w:t>
      </w:r>
      <w:proofErr w:type="spellEnd"/>
      <w:r w:rsidRPr="00470480">
        <w:rPr>
          <w:rFonts w:ascii="Arial" w:hAnsi="Arial" w:cs="Arial"/>
          <w:sz w:val="20"/>
          <w:szCs w:val="20"/>
        </w:rPr>
        <w:t xml:space="preserve"> and DCCBs to extend finance to Commercial Real Estate-Residential Housing (CRE-RH) within the existing aggregate housing finance limit of 5% of their total assets. For this purpose, CRE-RH shall consist of loans to builders/developers for residential housing projects (except for captive consumption). Such projects should ordinarily not include non-residential commercial real estate. However, integrated housing projects comprising some commercial space (e.g. shopping complex, school, etc.) can also be classified under CRE-RH, provided that the commercial area in the residential housing project does not exceed 10% of the total Floor Space Index (FSI) of the project. Standard asset provision of 0.75% and risk weight of 75% shall be maintained for CRE-RH advances.</w:t>
      </w: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4. Banks shall have a Board-approved policy for financing CRE-RH and a review note on the performance of the CRE-RH portfolio shall be placed before the Board at least on a half-yearly basis. All other extant instructions in the matter shall remain unchanged. The above instructions will come into effect from the date of this circular.</w:t>
      </w: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rPr>
          <w:rFonts w:ascii="Arial" w:hAnsi="Arial" w:cs="Arial"/>
          <w:sz w:val="20"/>
          <w:szCs w:val="20"/>
        </w:rPr>
      </w:pPr>
      <w:r w:rsidRPr="00470480">
        <w:rPr>
          <w:rFonts w:ascii="Arial" w:hAnsi="Arial" w:cs="Arial"/>
          <w:sz w:val="20"/>
          <w:szCs w:val="20"/>
        </w:rPr>
        <w:t>Yours faithfully,</w:t>
      </w:r>
    </w:p>
    <w:p w:rsidR="008712F1" w:rsidRPr="00470480" w:rsidRDefault="008712F1" w:rsidP="008712F1">
      <w:pPr>
        <w:spacing w:after="0"/>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bCs/>
          <w:sz w:val="20"/>
          <w:szCs w:val="20"/>
        </w:rPr>
      </w:pPr>
    </w:p>
    <w:p w:rsidR="008712F1" w:rsidRDefault="008712F1" w:rsidP="008712F1">
      <w:pPr>
        <w:spacing w:after="0"/>
        <w:jc w:val="both"/>
        <w:rPr>
          <w:rFonts w:ascii="Arial" w:hAnsi="Arial" w:cs="Arial"/>
          <w:bCs/>
          <w:sz w:val="20"/>
          <w:szCs w:val="20"/>
        </w:rPr>
      </w:pPr>
      <w:r w:rsidRPr="00827FA7">
        <w:rPr>
          <w:rFonts w:ascii="Arial" w:hAnsi="Arial" w:cs="Arial"/>
          <w:bCs/>
          <w:sz w:val="20"/>
          <w:szCs w:val="20"/>
        </w:rPr>
        <w:t xml:space="preserve">For </w:t>
      </w:r>
      <w:r>
        <w:rPr>
          <w:rFonts w:ascii="Arial" w:hAnsi="Arial" w:cs="Arial"/>
          <w:bCs/>
          <w:sz w:val="20"/>
          <w:szCs w:val="20"/>
        </w:rPr>
        <w:t>‘</w:t>
      </w:r>
      <w:r w:rsidRPr="00827FA7">
        <w:rPr>
          <w:rFonts w:ascii="Arial" w:hAnsi="Arial" w:cs="Arial"/>
          <w:bCs/>
          <w:sz w:val="20"/>
          <w:szCs w:val="20"/>
        </w:rPr>
        <w:t>Extract from Statement on Developmental and Regulatory Policies June 08, 2022</w:t>
      </w:r>
      <w:r>
        <w:rPr>
          <w:rFonts w:ascii="Arial" w:hAnsi="Arial" w:cs="Arial"/>
          <w:bCs/>
          <w:sz w:val="20"/>
          <w:szCs w:val="20"/>
        </w:rPr>
        <w:t>’ please refer to the link below.</w:t>
      </w:r>
    </w:p>
    <w:p w:rsidR="008712F1"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Pr>
          <w:rFonts w:ascii="Arial" w:hAnsi="Arial" w:cs="Arial"/>
          <w:sz w:val="20"/>
          <w:szCs w:val="20"/>
        </w:rPr>
        <w:t xml:space="preserve">Reference Link: </w:t>
      </w:r>
      <w:hyperlink r:id="rId42" w:history="1">
        <w:r w:rsidRPr="00470480">
          <w:rPr>
            <w:rStyle w:val="Hyperlink"/>
            <w:rFonts w:ascii="Arial" w:hAnsi="Arial" w:cs="Arial"/>
            <w:sz w:val="20"/>
            <w:szCs w:val="20"/>
          </w:rPr>
          <w:t>https://www.rbi.org.in/Scripts/NotificationUser.aspx?Id=12335&amp;Mode=0</w:t>
        </w:r>
      </w:hyperlink>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RBI/2022-23/56</w:t>
      </w:r>
      <w:r w:rsidRPr="00470480">
        <w:rPr>
          <w:rFonts w:ascii="Arial" w:hAnsi="Arial" w:cs="Arial"/>
          <w:color w:val="000000"/>
          <w:sz w:val="20"/>
          <w:szCs w:val="20"/>
        </w:rPr>
        <w:br/>
        <w:t>DOR.CRE.REC.18/09.22.010/2022-23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May 24,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para 2 of the </w:t>
      </w:r>
      <w:hyperlink r:id="rId43" w:tgtFrame="_blank" w:history="1">
        <w:r w:rsidRPr="00470480">
          <w:rPr>
            <w:rStyle w:val="Hyperlink"/>
            <w:rFonts w:ascii="Arial" w:hAnsi="Arial" w:cs="Arial"/>
            <w:sz w:val="20"/>
            <w:szCs w:val="20"/>
          </w:rPr>
          <w:t>circular UBD.CO.BPD.(PCB).Cir.No.13/09.22.010/2013-14 dated September 10, 2013</w:t>
        </w:r>
      </w:hyperlink>
      <w:r w:rsidRPr="00470480">
        <w:rPr>
          <w:rFonts w:ascii="Arial" w:hAnsi="Arial" w:cs="Arial"/>
          <w:color w:val="000000"/>
          <w:sz w:val="20"/>
          <w:szCs w:val="20"/>
        </w:rPr>
        <w:t> on the captioned subject, wherein, the ceiling on loans to individuals for carrying out repairs/additions/alterations to their dwelling units was revised upwards to ₹2 lakh in rural and semi-urban areas and ₹5 lakh in urban areas.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xml:space="preserve">2. The ceiling on such loans is now revised to ₹10 </w:t>
      </w:r>
      <w:proofErr w:type="gramStart"/>
      <w:r w:rsidRPr="00470480">
        <w:rPr>
          <w:rFonts w:ascii="Arial" w:hAnsi="Arial" w:cs="Arial"/>
          <w:color w:val="000000"/>
          <w:sz w:val="20"/>
          <w:szCs w:val="20"/>
        </w:rPr>
        <w:t>lakh</w:t>
      </w:r>
      <w:proofErr w:type="gramEnd"/>
      <w:r w:rsidRPr="00470480">
        <w:rPr>
          <w:rFonts w:ascii="Arial" w:hAnsi="Arial" w:cs="Arial"/>
          <w:color w:val="000000"/>
          <w:sz w:val="20"/>
          <w:szCs w:val="20"/>
        </w:rPr>
        <w:t xml:space="preserve"> in metropolitan centres (those centres with population of 10 lakh and above) and ₹6 lakh in other centres.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44" w:history="1">
        <w:r w:rsidRPr="00470480">
          <w:rPr>
            <w:rStyle w:val="Hyperlink"/>
            <w:rFonts w:ascii="Arial" w:hAnsi="Arial" w:cs="Arial"/>
            <w:sz w:val="20"/>
            <w:szCs w:val="20"/>
          </w:rPr>
          <w:t>https://www.rbi.org.in/Scripts/NotificationUser.aspx?Id=12323&amp;Mode=0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pPr>
        <w:rPr>
          <w:b/>
        </w:rPr>
      </w:pPr>
      <w:r>
        <w:rPr>
          <w:b/>
        </w:rPr>
        <w:br w:type="page"/>
      </w:r>
    </w:p>
    <w:p w:rsidR="008712F1" w:rsidRPr="00470480" w:rsidRDefault="008712F1" w:rsidP="008712F1">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45"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46"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47"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48"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49"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8712F1" w:rsidRPr="00470480" w:rsidRDefault="008712F1" w:rsidP="008712F1">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8712F1" w:rsidRPr="00470480" w:rsidRDefault="008712F1" w:rsidP="008712F1">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50"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1" w:history="1">
        <w:r w:rsidRPr="00470480">
          <w:rPr>
            <w:rStyle w:val="Hyperlink"/>
            <w:rFonts w:ascii="Arial" w:hAnsi="Arial" w:cs="Arial"/>
            <w:sz w:val="20"/>
            <w:szCs w:val="20"/>
          </w:rPr>
          <w:t>https://www.rbi.org.in/Scripts/NotificationUser.aspx?Id=12319&amp;Mode=0</w:t>
        </w:r>
      </w:hyperlink>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712F1" w:rsidRPr="00470480" w:rsidRDefault="008712F1" w:rsidP="008712F1">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52"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712F1" w:rsidRDefault="008712F1" w:rsidP="008712F1">
      <w:pPr>
        <w:pStyle w:val="NormalWeb"/>
        <w:rPr>
          <w:rFonts w:ascii="Arial" w:hAnsi="Arial" w:cs="Arial"/>
          <w:color w:val="000000"/>
          <w:sz w:val="20"/>
          <w:szCs w:val="20"/>
        </w:rPr>
      </w:pPr>
    </w:p>
    <w:p w:rsidR="008712F1"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3" w:history="1">
        <w:r w:rsidRPr="00470480">
          <w:rPr>
            <w:rStyle w:val="Hyperlink"/>
            <w:rFonts w:ascii="Arial" w:hAnsi="Arial" w:cs="Arial"/>
            <w:sz w:val="20"/>
            <w:szCs w:val="20"/>
          </w:rPr>
          <w:t>https://www.rbi.org.in/Scripts/NotificationUser.aspx?Id=12318&amp;Mode=0</w:t>
        </w:r>
      </w:hyperlink>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Lending by Commercial Banks to NBFCs and Small Finance Banks (SFBs) to NBFC-MFIs, for the purpose of on-lending to priority sectors</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RBI/2022-23/50</w:t>
      </w:r>
      <w:r w:rsidRPr="00470480">
        <w:rPr>
          <w:rFonts w:ascii="Arial" w:eastAsia="Times New Roman" w:hAnsi="Arial" w:cs="Arial"/>
          <w:color w:val="000000"/>
          <w:sz w:val="20"/>
          <w:szCs w:val="20"/>
          <w:lang w:eastAsia="en-IN"/>
        </w:rPr>
        <w:br/>
        <w:t>FIDD.CO.Plan.BC.No.5/04.09.01/2022-23</w:t>
      </w:r>
    </w:p>
    <w:p w:rsidR="008712F1" w:rsidRPr="00470480" w:rsidRDefault="008712F1" w:rsidP="008712F1">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May 13, 2022</w:t>
      </w: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The Chairman/ Managing Director/</w:t>
      </w:r>
      <w:r w:rsidRPr="00470480">
        <w:rPr>
          <w:rFonts w:ascii="Arial" w:eastAsia="Times New Roman" w:hAnsi="Arial" w:cs="Arial"/>
          <w:color w:val="000000"/>
          <w:sz w:val="20"/>
          <w:szCs w:val="20"/>
          <w:lang w:eastAsia="en-IN"/>
        </w:rPr>
        <w:br/>
        <w:t>Chief Executive Officer</w:t>
      </w:r>
      <w:r w:rsidRPr="00470480">
        <w:rPr>
          <w:rFonts w:ascii="Arial" w:eastAsia="Times New Roman" w:hAnsi="Arial" w:cs="Arial"/>
          <w:color w:val="000000"/>
          <w:sz w:val="20"/>
          <w:szCs w:val="20"/>
          <w:lang w:eastAsia="en-IN"/>
        </w:rPr>
        <w:br/>
        <w:t>All Scheduled Commercial Banks (Including Small Finance Banks)</w:t>
      </w:r>
      <w:r w:rsidRPr="00470480">
        <w:rPr>
          <w:rFonts w:ascii="Arial" w:eastAsia="Times New Roman" w:hAnsi="Arial" w:cs="Arial"/>
          <w:color w:val="000000"/>
          <w:sz w:val="20"/>
          <w:szCs w:val="20"/>
          <w:lang w:eastAsia="en-IN"/>
        </w:rPr>
        <w:br/>
        <w:t>(Excluding Regional Rural Banks, Urban Co-operative Banks and Local Area Banks)</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Dear Sir/Madam,</w:t>
      </w:r>
    </w:p>
    <w:p w:rsidR="008712F1" w:rsidRPr="00470480" w:rsidRDefault="008712F1" w:rsidP="008712F1">
      <w:pPr>
        <w:spacing w:before="100" w:beforeAutospacing="1" w:after="100" w:afterAutospacing="1" w:line="240" w:lineRule="auto"/>
        <w:jc w:val="both"/>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Lending by Commercial Banks to NBFCs and Small Finance Banks (SFBs) to NBFC-MFIs, for the purpose of on-lending to priority sectors</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 nos. 21.2, 21.3, 22 and 24 of the </w:t>
      </w:r>
      <w:hyperlink r:id="rId54" w:tgtFrame="_blank" w:history="1">
        <w:r w:rsidRPr="00470480">
          <w:rPr>
            <w:rFonts w:ascii="Arial" w:eastAsia="Times New Roman" w:hAnsi="Arial" w:cs="Arial"/>
            <w:color w:val="0000FF"/>
            <w:sz w:val="20"/>
            <w:szCs w:val="20"/>
            <w:u w:val="single"/>
            <w:lang w:eastAsia="en-IN"/>
          </w:rPr>
          <w:t>Master Directions on Priority Sector Lending dated September 4, 2020</w:t>
        </w:r>
      </w:hyperlink>
      <w:r w:rsidRPr="00470480">
        <w:rPr>
          <w:rFonts w:ascii="Arial" w:eastAsia="Times New Roman" w:hAnsi="Arial" w:cs="Arial"/>
          <w:color w:val="000000"/>
          <w:sz w:val="20"/>
          <w:szCs w:val="20"/>
          <w:lang w:eastAsia="en-IN"/>
        </w:rPr>
        <w:t> (updated from time to time), along with </w:t>
      </w:r>
      <w:hyperlink r:id="rId55" w:tgtFrame="_blank" w:history="1">
        <w:r w:rsidRPr="00470480">
          <w:rPr>
            <w:rFonts w:ascii="Arial" w:eastAsia="Times New Roman" w:hAnsi="Arial" w:cs="Arial"/>
            <w:color w:val="0000FF"/>
            <w:sz w:val="20"/>
            <w:szCs w:val="20"/>
            <w:u w:val="single"/>
            <w:lang w:eastAsia="en-IN"/>
          </w:rPr>
          <w:t xml:space="preserve">notifications </w:t>
        </w:r>
        <w:proofErr w:type="spellStart"/>
        <w:r w:rsidRPr="00470480">
          <w:rPr>
            <w:rFonts w:ascii="Arial" w:eastAsia="Times New Roman" w:hAnsi="Arial" w:cs="Arial"/>
            <w:color w:val="0000FF"/>
            <w:sz w:val="20"/>
            <w:szCs w:val="20"/>
            <w:u w:val="single"/>
            <w:lang w:eastAsia="en-IN"/>
          </w:rPr>
          <w:t>FIDD.CO.Plan</w:t>
        </w:r>
        <w:proofErr w:type="spellEnd"/>
        <w:r w:rsidRPr="00470480">
          <w:rPr>
            <w:rFonts w:ascii="Arial" w:eastAsia="Times New Roman" w:hAnsi="Arial" w:cs="Arial"/>
            <w:color w:val="0000FF"/>
            <w:sz w:val="20"/>
            <w:szCs w:val="20"/>
            <w:u w:val="single"/>
            <w:lang w:eastAsia="en-IN"/>
          </w:rPr>
          <w:t>. BC.No.15/04.09.01/2021-22 dated October 8, 2021</w:t>
        </w:r>
      </w:hyperlink>
      <w:r w:rsidRPr="00470480">
        <w:rPr>
          <w:rFonts w:ascii="Arial" w:eastAsia="Times New Roman" w:hAnsi="Arial" w:cs="Arial"/>
          <w:color w:val="000000"/>
          <w:sz w:val="20"/>
          <w:szCs w:val="20"/>
          <w:lang w:eastAsia="en-IN"/>
        </w:rPr>
        <w:t> and </w:t>
      </w:r>
      <w:hyperlink r:id="rId56" w:tgtFrame="_blank" w:history="1">
        <w:r w:rsidRPr="00470480">
          <w:rPr>
            <w:rFonts w:ascii="Arial" w:eastAsia="Times New Roman" w:hAnsi="Arial" w:cs="Arial"/>
            <w:color w:val="0000FF"/>
            <w:sz w:val="20"/>
            <w:szCs w:val="20"/>
            <w:u w:val="single"/>
            <w:lang w:eastAsia="en-IN"/>
          </w:rPr>
          <w:t>FIDD.CO.Plan.BC.No.10/04.09.01/2021-22 dated May 5, 2021</w:t>
        </w:r>
      </w:hyperlink>
      <w:r w:rsidRPr="00470480">
        <w:rPr>
          <w:rFonts w:ascii="Arial" w:eastAsia="Times New Roman" w:hAnsi="Arial" w:cs="Arial"/>
          <w:color w:val="000000"/>
          <w:sz w:val="20"/>
          <w:szCs w:val="20"/>
          <w:lang w:eastAsia="en-IN"/>
        </w:rPr>
        <w:t> wherein lending by commercial banks to NBFCs and lending by Small Finance Banks (SFBs) to NBFC-MFIs, for the purpose of on-lending to certain priority sectors, was permitted up to March 31, 2022.</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To ensure continuation of the synergies that have been developed between banks and NBFCs in delivering credit to the specified priority sectors, it has been decided to allow the above facility on an on-going basis.</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3. Bank credit to NBFCs (including HFCs) for on-lending will be allowed up to an overall limit of 5 percent of an individual bank’s total priority sector lending in case of commercial banks. In case of SFBs, credit to NBFC-MFIs and other MFIs (Societies, Trusts, etc.) which are members of RBI recognized ‘Self-Regulatory Organisation’ of the sector, will be allowed up to an overall limit of 10 percent of an individual bank’s total priority sector lending. These limits shall be computed by averaging across four quarters of the financial year, to determine adherence to the prescribed cap.</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4. SFBs are allowed to lend to registered NBFC-MFIs and other MFIs which have a ‘gross loan portfolio’ (GLP) of up to ₹500 </w:t>
      </w:r>
      <w:proofErr w:type="gramStart"/>
      <w:r w:rsidRPr="00470480">
        <w:rPr>
          <w:rFonts w:ascii="Arial" w:eastAsia="Times New Roman" w:hAnsi="Arial" w:cs="Arial"/>
          <w:color w:val="000000"/>
          <w:sz w:val="20"/>
          <w:szCs w:val="20"/>
          <w:lang w:eastAsia="en-IN"/>
        </w:rPr>
        <w:t>crore</w:t>
      </w:r>
      <w:proofErr w:type="gramEnd"/>
      <w:r w:rsidRPr="00470480">
        <w:rPr>
          <w:rFonts w:ascii="Arial" w:eastAsia="Times New Roman" w:hAnsi="Arial" w:cs="Arial"/>
          <w:color w:val="000000"/>
          <w:sz w:val="20"/>
          <w:szCs w:val="20"/>
          <w:lang w:eastAsia="en-IN"/>
        </w:rPr>
        <w:t xml:space="preserve"> as on March 31 of the previous financial year, for the purpose of on-lending to priority sector. In case the GLP of the NBFC-MFIs/other MFIs exceeds the stipulated limit at a later date, all priority sector loans created prior to exceeding the GLP limit will continue to be classified by the SFBs as PSL till repayment/maturity, whichever is earlier.</w:t>
      </w:r>
    </w:p>
    <w:p w:rsidR="008712F1" w:rsidRPr="00470480" w:rsidRDefault="008712F1" w:rsidP="008712F1">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w:t>
      </w:r>
      <w:proofErr w:type="spellStart"/>
      <w:r w:rsidRPr="00470480">
        <w:rPr>
          <w:rFonts w:ascii="Arial" w:eastAsia="Times New Roman" w:hAnsi="Arial" w:cs="Arial"/>
          <w:color w:val="000000"/>
          <w:sz w:val="20"/>
          <w:szCs w:val="20"/>
          <w:lang w:eastAsia="en-IN"/>
        </w:rPr>
        <w:t>Sonali</w:t>
      </w:r>
      <w:proofErr w:type="spellEnd"/>
      <w:r w:rsidRPr="00470480">
        <w:rPr>
          <w:rFonts w:ascii="Arial" w:eastAsia="Times New Roman" w:hAnsi="Arial" w:cs="Arial"/>
          <w:color w:val="000000"/>
          <w:sz w:val="20"/>
          <w:szCs w:val="20"/>
          <w:lang w:eastAsia="en-IN"/>
        </w:rPr>
        <w:t xml:space="preserve"> Sen Gupta)</w:t>
      </w:r>
      <w:r w:rsidRPr="00470480">
        <w:rPr>
          <w:rFonts w:ascii="Arial" w:eastAsia="Times New Roman" w:hAnsi="Arial" w:cs="Arial"/>
          <w:color w:val="000000"/>
          <w:sz w:val="20"/>
          <w:szCs w:val="20"/>
          <w:lang w:eastAsia="en-IN"/>
        </w:rPr>
        <w:br/>
        <w:t>Chief General Manager-in-Charge</w:t>
      </w: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57" w:history="1">
        <w:r w:rsidRPr="00470480">
          <w:rPr>
            <w:rStyle w:val="Hyperlink"/>
            <w:rFonts w:ascii="Arial" w:eastAsia="Times New Roman" w:hAnsi="Arial" w:cs="Arial"/>
            <w:sz w:val="20"/>
            <w:szCs w:val="20"/>
            <w:lang w:eastAsia="en-IN"/>
          </w:rPr>
          <w:t>https://www.rbi.org.in/Scripts/NotificationUser.aspx?Id=12317&amp;Mode=0</w:t>
        </w:r>
      </w:hyperlink>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Pr="00470480" w:rsidRDefault="008712F1" w:rsidP="008712F1">
      <w:pPr>
        <w:pStyle w:val="head"/>
        <w:rPr>
          <w:rFonts w:ascii="Arial" w:hAnsi="Arial" w:cs="Arial"/>
          <w:bCs/>
          <w:color w:val="000000"/>
          <w:sz w:val="20"/>
          <w:szCs w:val="20"/>
        </w:rPr>
      </w:pPr>
      <w:r w:rsidRPr="00470480">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8712F1" w:rsidRPr="00470480" w:rsidRDefault="008712F1" w:rsidP="008712F1">
      <w:pPr>
        <w:pStyle w:val="head"/>
        <w:rPr>
          <w:rFonts w:ascii="Arial" w:hAnsi="Arial" w:cs="Arial"/>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RBI/2022-23/35</w:t>
      </w:r>
      <w:r w:rsidRPr="00470480">
        <w:rPr>
          <w:rFonts w:ascii="Arial" w:hAnsi="Arial" w:cs="Arial"/>
          <w:color w:val="000000"/>
          <w:sz w:val="20"/>
          <w:szCs w:val="20"/>
        </w:rPr>
        <w:br/>
        <w:t>FIDD.CO.FSD.BC.No.3/05.02.001/2022-23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28,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Public Sector Banks, Private Sector Banks and</w:t>
      </w:r>
      <w:r w:rsidRPr="00470480">
        <w:rPr>
          <w:rFonts w:ascii="Arial" w:hAnsi="Arial" w:cs="Arial"/>
          <w:color w:val="000000"/>
          <w:sz w:val="20"/>
          <w:szCs w:val="20"/>
        </w:rPr>
        <w:br/>
        <w:t>Small Finance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xml:space="preserve">Please refer to our letter </w:t>
      </w:r>
      <w:proofErr w:type="gramStart"/>
      <w:r w:rsidRPr="00470480">
        <w:rPr>
          <w:rFonts w:ascii="Arial" w:hAnsi="Arial" w:cs="Arial"/>
          <w:color w:val="000000"/>
          <w:sz w:val="20"/>
          <w:szCs w:val="20"/>
        </w:rPr>
        <w:t>FIDD.CO.FSD.No.</w:t>
      </w:r>
      <w:proofErr w:type="gramEnd"/>
      <w:r w:rsidRPr="00470480">
        <w:rPr>
          <w:rFonts w:ascii="Arial" w:hAnsi="Arial" w:cs="Arial"/>
          <w:color w:val="000000"/>
          <w:sz w:val="20"/>
          <w:szCs w:val="20"/>
        </w:rPr>
        <w:t>342/05.02.001/2020-21 dated October 16, 2020 conveying the decision of the Government of India for continuation of the Interest Subvention Scheme (modified) for short term loans for agriculture and allied activities for the year 2020-21 on interim basis.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In this regard, it is advised that Government of India has approved the continuation of the Interest Subvention Scheme (ISS) with modifications for the financial year 2021-22 with the following stipulations:</w:t>
      </w:r>
    </w:p>
    <w:p w:rsidR="008712F1" w:rsidRPr="00470480" w:rsidRDefault="008712F1" w:rsidP="008712F1">
      <w:pPr>
        <w:numPr>
          <w:ilvl w:val="0"/>
          <w:numId w:val="3"/>
        </w:numPr>
        <w:spacing w:before="100" w:beforeAutospacing="1" w:after="100" w:afterAutospacing="1" w:line="240" w:lineRule="auto"/>
        <w:ind w:left="0"/>
        <w:jc w:val="both"/>
        <w:rPr>
          <w:rFonts w:ascii="Arial" w:hAnsi="Arial" w:cs="Arial"/>
          <w:color w:val="000000"/>
          <w:sz w:val="20"/>
          <w:szCs w:val="20"/>
        </w:rPr>
      </w:pPr>
      <w:r w:rsidRPr="00470480">
        <w:rPr>
          <w:rFonts w:ascii="Arial" w:hAnsi="Arial" w:cs="Arial"/>
          <w:color w:val="000000"/>
          <w:sz w:val="20"/>
          <w:szCs w:val="20"/>
        </w:rPr>
        <w:t xml:space="preserve">In order to provide short term crop loans and short term loans for allied activities including animal husbandry, dairy, fisheries, bee keeping etc.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an overall limit of ₹3 lakh to farmers through KCC at concessional interest rate during the year 2021-22, it has been decided to provide interest subvention of 2% per annum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of 2% per annum will be calculated on the loan amount from the date of disbursement/</w:t>
      </w:r>
      <w:proofErr w:type="spellStart"/>
      <w:r w:rsidRPr="00470480">
        <w:rPr>
          <w:rFonts w:ascii="Arial" w:hAnsi="Arial" w:cs="Arial"/>
          <w:color w:val="000000"/>
          <w:sz w:val="20"/>
          <w:szCs w:val="20"/>
        </w:rPr>
        <w:t>drawal</w:t>
      </w:r>
      <w:proofErr w:type="spellEnd"/>
      <w:r w:rsidRPr="00470480">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 2021-22 will be as follows:</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594"/>
        <w:gridCol w:w="2307"/>
        <w:gridCol w:w="2307"/>
      </w:tblGrid>
      <w:tr w:rsidR="008712F1" w:rsidRPr="00470480" w:rsidTr="008712F1">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spacing w:after="0"/>
              <w:jc w:val="center"/>
              <w:rPr>
                <w:rFonts w:ascii="Arial" w:hAnsi="Arial" w:cs="Arial"/>
                <w:b/>
                <w:bCs/>
                <w:color w:val="000000"/>
                <w:sz w:val="20"/>
                <w:szCs w:val="20"/>
              </w:rPr>
            </w:pPr>
            <w:r w:rsidRPr="00470480">
              <w:rPr>
                <w:rFonts w:ascii="Arial" w:hAnsi="Arial" w:cs="Arial"/>
                <w:b/>
                <w:bCs/>
                <w:color w:val="000000"/>
                <w:sz w:val="20"/>
                <w:szCs w:val="20"/>
              </w:rPr>
              <w:t>Financial Year</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b/>
                <w:bCs/>
                <w:color w:val="000000"/>
                <w:sz w:val="20"/>
                <w:szCs w:val="20"/>
              </w:rPr>
            </w:pPr>
            <w:r w:rsidRPr="00470480">
              <w:rPr>
                <w:rFonts w:ascii="Arial" w:hAnsi="Arial" w:cs="Arial"/>
                <w:b/>
                <w:bCs/>
                <w:color w:val="000000"/>
                <w:sz w:val="20"/>
                <w:szCs w:val="20"/>
              </w:rPr>
              <w:t>Lending rate to farmers</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b/>
                <w:bCs/>
                <w:color w:val="000000"/>
                <w:sz w:val="20"/>
                <w:szCs w:val="20"/>
              </w:rPr>
            </w:pPr>
            <w:r w:rsidRPr="00470480">
              <w:rPr>
                <w:rFonts w:ascii="Arial" w:hAnsi="Arial" w:cs="Arial"/>
                <w:b/>
                <w:bCs/>
                <w:color w:val="000000"/>
                <w:sz w:val="20"/>
                <w:szCs w:val="20"/>
              </w:rPr>
              <w:t>Rate for Interest Subvention</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2021-22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2%</w:t>
            </w:r>
          </w:p>
        </w:tc>
      </w:tr>
    </w:tbl>
    <w:p w:rsidR="008712F1"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Default="008712F1" w:rsidP="008712F1">
      <w:pPr>
        <w:spacing w:before="100" w:beforeAutospacing="1" w:after="100" w:afterAutospacing="1" w:line="240"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For more details, kindly refer to the link below.</w:t>
      </w:r>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58" w:history="1">
        <w:r w:rsidRPr="00470480">
          <w:rPr>
            <w:rStyle w:val="Hyperlink"/>
            <w:rFonts w:ascii="Arial" w:eastAsia="Times New Roman" w:hAnsi="Arial" w:cs="Arial"/>
            <w:sz w:val="20"/>
            <w:szCs w:val="20"/>
            <w:lang w:eastAsia="en-IN"/>
          </w:rPr>
          <w:t>https://www.rbi.org.in/Scripts/NotificationUser.aspx?Id=12302&amp;Mode=0</w:t>
        </w:r>
      </w:hyperlink>
    </w:p>
    <w:p w:rsidR="008712F1" w:rsidRPr="00470480" w:rsidRDefault="008712F1" w:rsidP="008712F1">
      <w:pPr>
        <w:spacing w:before="100" w:beforeAutospacing="1" w:after="100" w:afterAutospacing="1" w:line="240" w:lineRule="auto"/>
        <w:rPr>
          <w:rFonts w:ascii="Arial" w:eastAsia="Times New Roman" w:hAnsi="Arial" w:cs="Arial"/>
          <w:color w:val="000000"/>
          <w:sz w:val="20"/>
          <w:szCs w:val="20"/>
          <w:lang w:eastAsia="en-IN"/>
        </w:rPr>
      </w:pPr>
    </w:p>
    <w:p w:rsidR="008712F1" w:rsidRDefault="008712F1" w:rsidP="008712F1">
      <w:pPr>
        <w:spacing w:before="100" w:beforeAutospacing="1" w:after="100" w:afterAutospacing="1" w:line="240" w:lineRule="auto"/>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State Co-operative Banks and District Central Co-operative Banks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RBI/2022-23/31</w:t>
      </w:r>
      <w:r w:rsidRPr="00470480">
        <w:rPr>
          <w:rFonts w:ascii="Arial" w:hAnsi="Arial" w:cs="Arial"/>
          <w:color w:val="000000"/>
          <w:sz w:val="20"/>
          <w:szCs w:val="20"/>
        </w:rPr>
        <w:br/>
        <w:t>DOR.CAP.REC.22/09.18.201/2022-23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State and Central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State Co-operative Banks and District Central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for Rural Co-operative Banks (RCBs), i.e. State Co-operative Banks (</w:t>
      </w:r>
      <w:proofErr w:type="spellStart"/>
      <w:r w:rsidRPr="00470480">
        <w:rPr>
          <w:rFonts w:ascii="Arial" w:hAnsi="Arial" w:cs="Arial"/>
          <w:color w:val="000000"/>
          <w:sz w:val="20"/>
          <w:szCs w:val="20"/>
        </w:rPr>
        <w:t>StCBs</w:t>
      </w:r>
      <w:proofErr w:type="spellEnd"/>
      <w:r w:rsidRPr="00470480">
        <w:rPr>
          <w:rFonts w:ascii="Arial" w:hAnsi="Arial" w:cs="Arial"/>
          <w:color w:val="000000"/>
          <w:sz w:val="20"/>
          <w:szCs w:val="20"/>
        </w:rPr>
        <w:t>) and District Central Co-operative Banks (DCCBs).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RCBs on issue and regulation of capital funds have been reviewed keeping in view, inter alia, the provisions of Section 12 read with Section 56 of the amended Banking Regulation Act, 1949 (BR Act).</w:t>
      </w:r>
    </w:p>
    <w:p w:rsidR="008712F1" w:rsidRDefault="008712F1" w:rsidP="008712F1">
      <w:pPr>
        <w:pStyle w:val="head"/>
        <w:jc w:val="both"/>
        <w:rPr>
          <w:rFonts w:ascii="Arial" w:hAnsi="Arial" w:cs="Arial"/>
          <w:bCs/>
          <w:color w:val="000000"/>
          <w:sz w:val="20"/>
          <w:szCs w:val="20"/>
        </w:rPr>
      </w:pPr>
    </w:p>
    <w:p w:rsidR="008712F1" w:rsidRDefault="008712F1" w:rsidP="008712F1">
      <w:pPr>
        <w:pStyle w:val="head"/>
        <w:jc w:val="both"/>
        <w:rPr>
          <w:rFonts w:ascii="Arial" w:hAnsi="Arial" w:cs="Arial"/>
          <w:bCs/>
          <w:color w:val="000000"/>
          <w:sz w:val="20"/>
          <w:szCs w:val="20"/>
        </w:rPr>
      </w:pPr>
    </w:p>
    <w:p w:rsidR="008712F1" w:rsidRDefault="008712F1" w:rsidP="008712F1">
      <w:pPr>
        <w:pStyle w:val="head"/>
        <w:spacing w:before="0" w:beforeAutospacing="0"/>
        <w:jc w:val="both"/>
        <w:rPr>
          <w:rFonts w:ascii="Arial" w:hAnsi="Arial" w:cs="Arial"/>
          <w:bCs/>
          <w:color w:val="000000"/>
          <w:sz w:val="20"/>
          <w:szCs w:val="20"/>
        </w:rPr>
      </w:pPr>
      <w:r w:rsidRPr="005F6218">
        <w:rPr>
          <w:rFonts w:ascii="Arial" w:hAnsi="Arial" w:cs="Arial"/>
          <w:bCs/>
          <w:color w:val="000000"/>
          <w:sz w:val="20"/>
          <w:szCs w:val="20"/>
        </w:rPr>
        <w:t>For information on Augmentation of capital funds, Refund of share capital, Repeal and Effective Date refer to the link below.</w:t>
      </w:r>
    </w:p>
    <w:p w:rsidR="008712F1" w:rsidRPr="005F6218" w:rsidRDefault="008712F1" w:rsidP="008712F1">
      <w:pPr>
        <w:pStyle w:val="head"/>
        <w:spacing w:before="0" w:beforeAutospacing="0"/>
        <w:jc w:val="both"/>
        <w:rPr>
          <w:rFonts w:ascii="Arial" w:hAnsi="Arial" w:cs="Arial"/>
          <w:bCs/>
          <w:color w:val="000000"/>
          <w:sz w:val="20"/>
          <w:szCs w:val="20"/>
        </w:rPr>
      </w:pPr>
      <w:r w:rsidRPr="00470480">
        <w:rPr>
          <w:rFonts w:ascii="Arial" w:hAnsi="Arial" w:cs="Arial"/>
          <w:color w:val="000000"/>
          <w:sz w:val="20"/>
          <w:szCs w:val="20"/>
        </w:rPr>
        <w:t xml:space="preserve">Reference Link: </w:t>
      </w:r>
      <w:hyperlink r:id="rId59" w:history="1">
        <w:r w:rsidRPr="00470480">
          <w:rPr>
            <w:rStyle w:val="Hyperlink"/>
            <w:rFonts w:ascii="Arial" w:hAnsi="Arial" w:cs="Arial"/>
            <w:sz w:val="20"/>
            <w:szCs w:val="20"/>
          </w:rPr>
          <w:t>https://www.rbi.org.in/Scripts/NotificationUser.aspx?Id=12297&amp;Mode=0</w:t>
        </w:r>
      </w:hyperlink>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Default="008712F1">
      <w:pPr>
        <w:rPr>
          <w:b/>
        </w:rPr>
      </w:pPr>
      <w:r>
        <w:rPr>
          <w:b/>
        </w:rPr>
        <w:br w:type="page"/>
      </w: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Loans and Advances – Regulatory Restrictions – NBFCs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RBI/2022-23/29</w:t>
      </w:r>
      <w:r w:rsidRPr="00470480">
        <w:rPr>
          <w:rFonts w:ascii="Arial" w:hAnsi="Arial" w:cs="Arial"/>
          <w:color w:val="000000"/>
          <w:sz w:val="20"/>
          <w:szCs w:val="20"/>
        </w:rPr>
        <w:br/>
        <w:t>DOR.CRE.REC.No.25/03.10.001/2022-23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In terms of para 3.2.2 (c) and para 3.2.3 (b) &amp; (c) of the </w:t>
      </w:r>
      <w:hyperlink r:id="rId60" w:tgtFrame="_blank" w:history="1">
        <w:r w:rsidRPr="00470480">
          <w:rPr>
            <w:rStyle w:val="Hyperlink"/>
            <w:rFonts w:ascii="Arial" w:hAnsi="Arial" w:cs="Arial"/>
            <w:sz w:val="20"/>
            <w:szCs w:val="20"/>
          </w:rPr>
          <w:t>circular on Scale Based Regulation (SBR): A Revised Regulatory Framework for NBFCs issued on October 22, 2021</w:t>
        </w:r>
      </w:hyperlink>
      <w:r w:rsidRPr="00470480">
        <w:rPr>
          <w:rFonts w:ascii="Arial" w:hAnsi="Arial" w:cs="Arial"/>
          <w:color w:val="000000"/>
          <w:sz w:val="20"/>
          <w:szCs w:val="20"/>
        </w:rPr>
        <w:t>, certain regulatory restrictions on lending were introduced in respect of NBFCs placed in different layers. Detailed guidelines in this regard are placed as </w:t>
      </w:r>
      <w:hyperlink r:id="rId61" w:anchor="AN" w:history="1">
        <w:r w:rsidRPr="00470480">
          <w:rPr>
            <w:rStyle w:val="Hyperlink"/>
            <w:rFonts w:ascii="Arial" w:hAnsi="Arial" w:cs="Arial"/>
            <w:sz w:val="20"/>
            <w:szCs w:val="20"/>
          </w:rPr>
          <w:t>Annex</w:t>
        </w:r>
      </w:hyperlink>
      <w:r w:rsidRPr="00470480">
        <w:rPr>
          <w:rFonts w:ascii="Arial" w:hAnsi="Arial" w:cs="Arial"/>
          <w:color w:val="000000"/>
          <w:sz w:val="20"/>
          <w:szCs w:val="20"/>
        </w:rPr>
        <w:t> to this circular.</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These guidelines shall be effective from October 01,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62" w:history="1">
        <w:r w:rsidRPr="00470480">
          <w:rPr>
            <w:rStyle w:val="Hyperlink"/>
            <w:rFonts w:ascii="Arial" w:hAnsi="Arial" w:cs="Arial"/>
            <w:sz w:val="20"/>
            <w:szCs w:val="20"/>
          </w:rPr>
          <w:t>https://www.rbi.org.in/Scripts/NotificationUser.aspx?Id=12294&amp;Mode=0</w:t>
        </w:r>
      </w:hyperlink>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ab/>
      </w: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pPr>
        <w:rPr>
          <w:b/>
        </w:rPr>
      </w:pPr>
      <w:r>
        <w:rPr>
          <w:b/>
        </w:rPr>
        <w:br w:type="page"/>
      </w: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RBI/2022-23/26</w:t>
      </w:r>
      <w:r w:rsidRPr="00470480">
        <w:rPr>
          <w:rFonts w:ascii="Arial" w:hAnsi="Arial" w:cs="Arial"/>
          <w:color w:val="000000"/>
          <w:sz w:val="20"/>
          <w:szCs w:val="20"/>
        </w:rPr>
        <w:br/>
        <w:t>DOR.ACC.REC.No.20/21.04.018/2022-23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63"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which inter-alia envisages certain specific disclosures.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Non-Banking Finance Companies (NBFCs) are required to make disclosures in their financial statements in accordance with existing prudential guidelines, applicable accounting standards, laws, and regulations. The additional disclosure requirements for NBFCs in accordance with the SBR framework are outlined in the </w:t>
      </w:r>
      <w:hyperlink r:id="rId64" w:tgtFrame="_blank"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These disclosures are in addition to and not in substitution of the disclosure requirements specified under other laws, regulations, or accounting and financial reporting standards. More comprehensive disclosures than the minimum required are encouraged, especially if such disclosures significantly aid in the understanding of the financial position and performance.</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NBFCs. The Annex specifies the applicability of specific disclosure requirements to specific NBFC layers as per Scale Based Regulation. It may be noted that disclosure requirements applicable to lower layers of NBFCs will be applicable to NBFCs in higher layers. These guidelines shall be effective for annual financial statements for year ending March 31, 2023, and onwards.</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Links: </w:t>
      </w:r>
      <w:hyperlink r:id="rId65" w:history="1">
        <w:r w:rsidRPr="00470480">
          <w:rPr>
            <w:rStyle w:val="Hyperlink"/>
            <w:rFonts w:ascii="Arial" w:hAnsi="Arial" w:cs="Arial"/>
            <w:sz w:val="20"/>
            <w:szCs w:val="20"/>
          </w:rPr>
          <w:t>https://www.rbi.org.in/Scripts/NotificationUser.aspx?Id=12292&amp;Mode=0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pPr>
        <w:rPr>
          <w:b/>
        </w:rPr>
      </w:pPr>
      <w:r>
        <w:rPr>
          <w:b/>
        </w:rPr>
        <w:br w:type="page"/>
      </w:r>
    </w:p>
    <w:p w:rsidR="008712F1" w:rsidRDefault="008712F1" w:rsidP="008712F1">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8712F1" w:rsidRDefault="008712F1" w:rsidP="008712F1">
      <w:pPr>
        <w:pStyle w:val="NormalWeb"/>
        <w:jc w:val="right"/>
        <w:rPr>
          <w:rFonts w:ascii="Arial" w:hAnsi="Arial" w:cs="Arial"/>
          <w:color w:val="000000"/>
          <w:sz w:val="20"/>
          <w:szCs w:val="20"/>
        </w:rPr>
      </w:pPr>
      <w:r>
        <w:rPr>
          <w:rFonts w:ascii="Arial" w:hAnsi="Arial" w:cs="Arial"/>
          <w:color w:val="000000"/>
          <w:sz w:val="20"/>
          <w:szCs w:val="20"/>
        </w:rPr>
        <w:t>April 08, 2022</w:t>
      </w:r>
    </w:p>
    <w:p w:rsidR="008712F1" w:rsidRDefault="008712F1" w:rsidP="008712F1">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Madam/Sir,</w:t>
      </w:r>
    </w:p>
    <w:p w:rsidR="008712F1" w:rsidRDefault="008712F1" w:rsidP="008712F1">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Please refer to </w:t>
      </w:r>
      <w:hyperlink r:id="rId66"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67"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68" w:anchor="AN1" w:history="1">
        <w:r>
          <w:rPr>
            <w:rStyle w:val="Hyperlink"/>
            <w:rFonts w:ascii="Arial" w:hAnsi="Arial" w:cs="Arial"/>
            <w:sz w:val="20"/>
            <w:szCs w:val="20"/>
          </w:rPr>
          <w:t>enclosed</w:t>
        </w:r>
      </w:hyperlink>
      <w:r>
        <w:rPr>
          <w:rFonts w:ascii="Arial" w:hAnsi="Arial" w:cs="Arial"/>
          <w:color w:val="000000"/>
          <w:sz w:val="20"/>
          <w:szCs w:val="20"/>
        </w:rPr>
        <w:t>.</w:t>
      </w: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Yours faithfully,</w:t>
      </w:r>
    </w:p>
    <w:p w:rsidR="008712F1" w:rsidRDefault="008712F1" w:rsidP="008712F1">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8712F1" w:rsidRDefault="008712F1" w:rsidP="008712F1">
      <w:pPr>
        <w:pStyle w:val="NormalWeb"/>
        <w:jc w:val="both"/>
        <w:rPr>
          <w:rFonts w:ascii="Arial" w:hAnsi="Arial" w:cs="Arial"/>
          <w:color w:val="000000"/>
          <w:sz w:val="20"/>
          <w:szCs w:val="20"/>
        </w:rPr>
      </w:pP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8712F1" w:rsidRDefault="008712F1" w:rsidP="008712F1">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69" w:history="1">
        <w:r w:rsidRPr="00321241">
          <w:rPr>
            <w:rStyle w:val="Hyperlink"/>
            <w:rFonts w:ascii="Arial" w:hAnsi="Arial" w:cs="Arial"/>
            <w:bCs/>
            <w:sz w:val="20"/>
            <w:szCs w:val="20"/>
          </w:rPr>
          <w:t>https://www.rbi.org.in/Scripts/NotificationUser.aspx?Id=12289&amp;Mode=0</w:t>
        </w:r>
      </w:hyperlink>
    </w:p>
    <w:p w:rsidR="008712F1" w:rsidRPr="00311876" w:rsidRDefault="008712F1" w:rsidP="008712F1">
      <w:pPr>
        <w:spacing w:after="0"/>
        <w:jc w:val="both"/>
        <w:rPr>
          <w:rFonts w:ascii="Arial" w:hAnsi="Arial" w:cs="Arial"/>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0"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7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72"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Pr="00470480" w:rsidRDefault="008712F1" w:rsidP="008712F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8712F1" w:rsidRPr="00470480" w:rsidTr="008712F1">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3" w:anchor="1" w:history="1">
              <w:r w:rsidRPr="00470480">
                <w:rPr>
                  <w:rStyle w:val="Hyperlink"/>
                  <w:rFonts w:ascii="Arial" w:hAnsi="Arial" w:cs="Arial"/>
                  <w:sz w:val="20"/>
                  <w:szCs w:val="20"/>
                </w:rPr>
                <w:t>Introduction</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4" w:anchor="2" w:history="1">
              <w:r w:rsidRPr="00470480">
                <w:rPr>
                  <w:rStyle w:val="Hyperlink"/>
                  <w:rFonts w:ascii="Arial" w:hAnsi="Arial" w:cs="Arial"/>
                  <w:sz w:val="20"/>
                  <w:szCs w:val="20"/>
                </w:rPr>
                <w:t>Working Capital Requirements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5" w:anchor="3" w:history="1">
              <w:r w:rsidRPr="00470480">
                <w:rPr>
                  <w:rStyle w:val="Hyperlink"/>
                  <w:rFonts w:ascii="Arial" w:hAnsi="Arial" w:cs="Arial"/>
                  <w:sz w:val="20"/>
                  <w:szCs w:val="20"/>
                </w:rPr>
                <w:t>Loan System for delivery of bank credit</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6" w:anchor="4" w:history="1">
              <w:r w:rsidRPr="00470480">
                <w:rPr>
                  <w:rStyle w:val="Hyperlink"/>
                  <w:rFonts w:ascii="Arial" w:hAnsi="Arial" w:cs="Arial"/>
                  <w:sz w:val="20"/>
                  <w:szCs w:val="20"/>
                </w:rPr>
                <w:t>Credit Administration</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7" w:anchor="5" w:history="1">
              <w:r w:rsidRPr="00470480">
                <w:rPr>
                  <w:rStyle w:val="Hyperlink"/>
                  <w:rFonts w:ascii="Arial" w:hAnsi="Arial" w:cs="Arial"/>
                  <w:sz w:val="20"/>
                  <w:szCs w:val="20"/>
                </w:rPr>
                <w:t>Exchange of credit information</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8" w:anchor="6" w:history="1">
              <w:r w:rsidRPr="00470480">
                <w:rPr>
                  <w:rStyle w:val="Hyperlink"/>
                  <w:rFonts w:ascii="Arial" w:hAnsi="Arial" w:cs="Arial"/>
                  <w:sz w:val="20"/>
                  <w:szCs w:val="20"/>
                </w:rPr>
                <w:t>Prudential Guidelines on Restructuring of Advances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79" w:anchor="7" w:history="1">
              <w:r w:rsidRPr="00470480">
                <w:rPr>
                  <w:rStyle w:val="Hyperlink"/>
                  <w:rFonts w:ascii="Arial" w:hAnsi="Arial" w:cs="Arial"/>
                  <w:sz w:val="20"/>
                  <w:szCs w:val="20"/>
                </w:rPr>
                <w:t>Specific Lending Activities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0" w:anchor="8" w:history="1">
              <w:r w:rsidRPr="00470480">
                <w:rPr>
                  <w:rStyle w:val="Hyperlink"/>
                  <w:rFonts w:ascii="Arial" w:hAnsi="Arial" w:cs="Arial"/>
                  <w:sz w:val="20"/>
                  <w:szCs w:val="20"/>
                </w:rPr>
                <w:t>Discounting/Rediscounting of Bills by Banks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1" w:anchor="9" w:history="1">
              <w:r w:rsidRPr="00470480">
                <w:rPr>
                  <w:rStyle w:val="Hyperlink"/>
                  <w:rFonts w:ascii="Arial" w:hAnsi="Arial" w:cs="Arial"/>
                  <w:sz w:val="20"/>
                  <w:szCs w:val="20"/>
                </w:rPr>
                <w:t>Loans to Self Help Groups (SHGs) / Joint Liability Groups (JLGs)</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2" w:anchor="10" w:history="1">
              <w:r w:rsidRPr="00470480">
                <w:rPr>
                  <w:rStyle w:val="Hyperlink"/>
                  <w:rFonts w:ascii="Arial" w:hAnsi="Arial" w:cs="Arial"/>
                  <w:sz w:val="20"/>
                  <w:szCs w:val="20"/>
                </w:rPr>
                <w:t>Revival of Interest Tax Act, 1974</w:t>
              </w:r>
            </w:hyperlink>
          </w:p>
        </w:tc>
      </w:tr>
      <w:tr w:rsidR="008712F1" w:rsidRPr="00470480" w:rsidTr="008712F1">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3" w:anchor="11" w:history="1">
              <w:r w:rsidRPr="00470480">
                <w:rPr>
                  <w:rStyle w:val="Hyperlink"/>
                  <w:rFonts w:ascii="Arial" w:hAnsi="Arial" w:cs="Arial"/>
                  <w:sz w:val="20"/>
                  <w:szCs w:val="20"/>
                </w:rPr>
                <w:t>Relief measures to be extended in areas affected by natural calamities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4" w:anchor="AN1" w:history="1">
              <w:r w:rsidRPr="00470480">
                <w:rPr>
                  <w:rStyle w:val="Hyperlink"/>
                  <w:rFonts w:ascii="Arial" w:hAnsi="Arial" w:cs="Arial"/>
                  <w:sz w:val="20"/>
                  <w:szCs w:val="20"/>
                </w:rPr>
                <w:t xml:space="preserve">Annex - 1 Guidelines on Valuation of Properties – Empanelment of </w:t>
              </w:r>
              <w:proofErr w:type="spellStart"/>
              <w:r w:rsidRPr="00470480">
                <w:rPr>
                  <w:rStyle w:val="Hyperlink"/>
                  <w:rFonts w:ascii="Arial" w:hAnsi="Arial" w:cs="Arial"/>
                  <w:sz w:val="20"/>
                  <w:szCs w:val="20"/>
                </w:rPr>
                <w:t>Valuers</w:t>
              </w:r>
              <w:proofErr w:type="spellEnd"/>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5" w:anchor="AN2" w:history="1">
              <w:r w:rsidRPr="00470480">
                <w:rPr>
                  <w:rStyle w:val="Hyperlink"/>
                  <w:rFonts w:ascii="Arial" w:hAnsi="Arial" w:cs="Arial"/>
                  <w:sz w:val="20"/>
                  <w:szCs w:val="20"/>
                </w:rPr>
                <w:t>Annex - 2 Guidelines for Relief Measures by Banks in Areas Affected by Natural Calamities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6" w:anchor="AN3" w:history="1">
              <w:r w:rsidRPr="00470480">
                <w:rPr>
                  <w:rStyle w:val="Hyperlink"/>
                  <w:rFonts w:ascii="Arial" w:hAnsi="Arial" w:cs="Arial"/>
                  <w:sz w:val="20"/>
                  <w:szCs w:val="20"/>
                </w:rPr>
                <w:t xml:space="preserve">Annex - 3 Format for reporting of </w:t>
              </w:r>
              <w:proofErr w:type="spellStart"/>
              <w:r w:rsidRPr="00470480">
                <w:rPr>
                  <w:rStyle w:val="Hyperlink"/>
                  <w:rFonts w:ascii="Arial" w:hAnsi="Arial" w:cs="Arial"/>
                  <w:sz w:val="20"/>
                  <w:szCs w:val="20"/>
                </w:rPr>
                <w:t>borrowal</w:t>
              </w:r>
              <w:proofErr w:type="spellEnd"/>
              <w:r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7" w:anchor="AN4" w:history="1">
              <w:r w:rsidRPr="00470480">
                <w:rPr>
                  <w:rStyle w:val="Hyperlink"/>
                  <w:rFonts w:ascii="Arial" w:hAnsi="Arial" w:cs="Arial"/>
                  <w:sz w:val="20"/>
                  <w:szCs w:val="20"/>
                </w:rPr>
                <w:t>Annex - 4 Definition of Micro, Small and Medium Enterprises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8" w:anchor="AN5" w:history="1">
              <w:r w:rsidRPr="00470480">
                <w:rPr>
                  <w:rStyle w:val="Hyperlink"/>
                  <w:rFonts w:ascii="Arial" w:hAnsi="Arial" w:cs="Arial"/>
                  <w:sz w:val="20"/>
                  <w:szCs w:val="20"/>
                </w:rPr>
                <w:t>Annex - 5 Safeguards-Advances against pledge of Gold/Silver ornaments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89" w:anchor="AN6" w:history="1">
              <w:r w:rsidRPr="00470480">
                <w:rPr>
                  <w:rStyle w:val="Hyperlink"/>
                  <w:rFonts w:ascii="Arial" w:hAnsi="Arial" w:cs="Arial"/>
                  <w:sz w:val="20"/>
                  <w:szCs w:val="20"/>
                </w:rPr>
                <w:t>Annex - 6 Recommendations of the Committee to Recommended Data Format of Credit Information to CICs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90" w:anchor="AN7" w:history="1">
              <w:r w:rsidRPr="00470480">
                <w:rPr>
                  <w:rStyle w:val="Hyperlink"/>
                  <w:rFonts w:ascii="Arial" w:hAnsi="Arial" w:cs="Arial"/>
                  <w:sz w:val="20"/>
                  <w:szCs w:val="20"/>
                </w:rPr>
                <w:t>Annex - 7 Credit information reporting in respect of Self Help Group (SHG) members</w:t>
              </w:r>
            </w:hyperlink>
          </w:p>
        </w:tc>
      </w:tr>
      <w:tr w:rsidR="008712F1" w:rsidRPr="00470480" w:rsidTr="008712F1">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712F1" w:rsidRPr="00470480" w:rsidRDefault="008712F1" w:rsidP="008712F1">
            <w:pPr>
              <w:jc w:val="both"/>
              <w:rPr>
                <w:rFonts w:ascii="Arial" w:hAnsi="Arial" w:cs="Arial"/>
                <w:color w:val="000000"/>
                <w:sz w:val="20"/>
                <w:szCs w:val="20"/>
              </w:rPr>
            </w:pPr>
            <w:hyperlink r:id="rId91" w:anchor="AP" w:history="1">
              <w:r w:rsidRPr="00470480">
                <w:rPr>
                  <w:rStyle w:val="Hyperlink"/>
                  <w:rFonts w:ascii="Arial" w:hAnsi="Arial" w:cs="Arial"/>
                  <w:sz w:val="20"/>
                  <w:szCs w:val="20"/>
                </w:rPr>
                <w:t>Appendix List of circulars consolidated in the Master Circular</w:t>
              </w:r>
            </w:hyperlink>
          </w:p>
        </w:tc>
      </w:tr>
    </w:tbl>
    <w:p w:rsidR="008712F1" w:rsidRDefault="008712F1" w:rsidP="008712F1">
      <w:pPr>
        <w:pStyle w:val="NormalWeb"/>
        <w:jc w:val="both"/>
        <w:rPr>
          <w:rFonts w:ascii="Arial" w:hAnsi="Arial" w:cs="Arial"/>
          <w:color w:val="000000"/>
          <w:sz w:val="20"/>
          <w:szCs w:val="20"/>
        </w:rPr>
      </w:pPr>
    </w:p>
    <w:p w:rsidR="008712F1" w:rsidRDefault="008712F1" w:rsidP="008712F1">
      <w:pPr>
        <w:pStyle w:val="NormalWeb"/>
        <w:jc w:val="both"/>
        <w:rPr>
          <w:rFonts w:ascii="Arial" w:hAnsi="Arial" w:cs="Arial"/>
          <w:color w:val="000000"/>
          <w:sz w:val="20"/>
          <w:szCs w:val="20"/>
        </w:rPr>
      </w:pPr>
    </w:p>
    <w:p w:rsidR="008712F1" w:rsidRDefault="008712F1" w:rsidP="008712F1">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2" w:history="1">
        <w:r w:rsidRPr="00470480">
          <w:rPr>
            <w:rStyle w:val="Hyperlink"/>
            <w:rFonts w:ascii="Arial" w:hAnsi="Arial" w:cs="Arial"/>
            <w:sz w:val="20"/>
            <w:szCs w:val="20"/>
          </w:rPr>
          <w:t>https://www.rbi.org.in/Scripts/NotificationUser.aspx?Id=12288&amp;Mode=0</w:t>
        </w:r>
      </w:hyperlink>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Default="008712F1">
      <w:pPr>
        <w:rPr>
          <w:b/>
        </w:rPr>
      </w:pPr>
      <w:r>
        <w:rPr>
          <w:b/>
        </w:rPr>
        <w:br w:type="page"/>
      </w: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Income Recognition, Asset Classification, Provisioning and Other Related Matters – UCBs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93"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9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95"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Pr="00470480" w:rsidRDefault="008712F1" w:rsidP="008712F1">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8712F1" w:rsidRDefault="008712F1" w:rsidP="008712F1">
      <w:pPr>
        <w:spacing w:before="240" w:after="240"/>
        <w:rPr>
          <w:rFonts w:ascii="Arial" w:hAnsi="Arial" w:cs="Arial"/>
          <w:sz w:val="20"/>
          <w:szCs w:val="20"/>
        </w:rPr>
      </w:pPr>
    </w:p>
    <w:p w:rsidR="008712F1" w:rsidRDefault="008712F1" w:rsidP="008712F1">
      <w:pPr>
        <w:spacing w:before="240" w:after="240"/>
        <w:rPr>
          <w:rFonts w:ascii="Arial" w:hAnsi="Arial" w:cs="Arial"/>
          <w:sz w:val="20"/>
          <w:szCs w:val="20"/>
        </w:rPr>
      </w:pPr>
    </w:p>
    <w:p w:rsidR="008712F1" w:rsidRPr="001942B3" w:rsidRDefault="008712F1" w:rsidP="008712F1">
      <w:pPr>
        <w:spacing w:before="240" w:after="240"/>
        <w:rPr>
          <w:rFonts w:ascii="Arial" w:hAnsi="Arial" w:cs="Arial"/>
          <w:sz w:val="20"/>
          <w:szCs w:val="20"/>
        </w:rPr>
      </w:pPr>
      <w:r>
        <w:rPr>
          <w:rFonts w:ascii="Arial" w:hAnsi="Arial" w:cs="Arial"/>
          <w:sz w:val="20"/>
          <w:szCs w:val="20"/>
        </w:rPr>
        <w:t xml:space="preserve">For the detailed Master Circular on </w:t>
      </w:r>
      <w:r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96" w:history="1">
        <w:r w:rsidRPr="00470480">
          <w:rPr>
            <w:rStyle w:val="Hyperlink"/>
            <w:rFonts w:ascii="Arial" w:hAnsi="Arial" w:cs="Arial"/>
            <w:sz w:val="20"/>
            <w:szCs w:val="20"/>
          </w:rPr>
          <w:t>https://www.rbi.org.in/Scripts/NotificationUser.aspx?Id=12283&amp;Mode=0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pPr>
        <w:rPr>
          <w:b/>
        </w:rPr>
      </w:pPr>
      <w:r>
        <w:rPr>
          <w:b/>
        </w:rPr>
        <w:br w:type="page"/>
      </w: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97"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9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99"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8712F1" w:rsidRPr="001942B3" w:rsidRDefault="008712F1" w:rsidP="008712F1">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0" w:history="1">
        <w:r w:rsidRPr="00470480">
          <w:rPr>
            <w:rStyle w:val="Hyperlink"/>
            <w:rFonts w:ascii="Arial" w:hAnsi="Arial" w:cs="Arial"/>
            <w:sz w:val="20"/>
            <w:szCs w:val="20"/>
          </w:rPr>
          <w:t>https://www.rbi.org.in/Scripts/NotificationUser.aspx?Id=12281&amp;Mode=0</w:t>
        </w:r>
      </w:hyperlink>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Default="008712F1">
      <w:pPr>
        <w:rPr>
          <w:b/>
        </w:rPr>
      </w:pPr>
      <w:r>
        <w:rPr>
          <w:b/>
        </w:rPr>
        <w:br w:type="page"/>
      </w:r>
    </w:p>
    <w:p w:rsidR="008712F1" w:rsidRPr="00470480" w:rsidRDefault="008712F1" w:rsidP="008712F1">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01"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102"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103"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104"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8712F1" w:rsidRDefault="008712F1" w:rsidP="008712F1">
      <w:pPr>
        <w:pStyle w:val="NormalWeb"/>
        <w:spacing w:before="0" w:beforeAutospacing="0" w:after="0" w:afterAutospacing="0"/>
        <w:jc w:val="both"/>
        <w:rPr>
          <w:rFonts w:ascii="Arial" w:hAnsi="Arial" w:cs="Arial"/>
          <w:color w:val="000000"/>
          <w:sz w:val="20"/>
          <w:szCs w:val="20"/>
        </w:rPr>
      </w:pPr>
    </w:p>
    <w:p w:rsidR="008712F1" w:rsidRDefault="008712F1" w:rsidP="008712F1">
      <w:pPr>
        <w:pStyle w:val="NormalWeb"/>
        <w:spacing w:before="0" w:beforeAutospacing="0" w:after="0" w:afterAutospacing="0"/>
        <w:jc w:val="both"/>
        <w:rPr>
          <w:rFonts w:ascii="Arial" w:hAnsi="Arial" w:cs="Arial"/>
          <w:color w:val="000000"/>
          <w:sz w:val="20"/>
          <w:szCs w:val="20"/>
        </w:rPr>
      </w:pPr>
    </w:p>
    <w:p w:rsidR="008712F1" w:rsidRDefault="008712F1" w:rsidP="008712F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8712F1" w:rsidRPr="00470480" w:rsidRDefault="008712F1" w:rsidP="008712F1">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5" w:history="1">
        <w:r w:rsidRPr="00470480">
          <w:rPr>
            <w:rStyle w:val="Hyperlink"/>
            <w:rFonts w:ascii="Arial" w:hAnsi="Arial" w:cs="Arial"/>
            <w:sz w:val="20"/>
            <w:szCs w:val="20"/>
          </w:rPr>
          <w:t>https://www.rbi.org.in/Scripts/NotificationUser.aspx?Id=12272&amp;Mode=0</w:t>
        </w:r>
      </w:hyperlink>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Pr="00470480" w:rsidRDefault="008712F1" w:rsidP="008712F1">
      <w:pPr>
        <w:pStyle w:val="NormalWeb"/>
        <w:jc w:val="both"/>
        <w:rPr>
          <w:rFonts w:ascii="Arial" w:hAnsi="Arial" w:cs="Arial"/>
          <w:color w:val="000000"/>
          <w:sz w:val="20"/>
          <w:szCs w:val="20"/>
        </w:rPr>
      </w:pPr>
    </w:p>
    <w:p w:rsidR="008712F1" w:rsidRDefault="008712F1">
      <w:pPr>
        <w:rPr>
          <w:b/>
        </w:rPr>
      </w:pPr>
      <w:r>
        <w:rPr>
          <w:b/>
        </w:rPr>
        <w:br w:type="page"/>
      </w: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106"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07"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108"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109"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8712F1" w:rsidRDefault="008712F1" w:rsidP="008712F1">
      <w:pPr>
        <w:pStyle w:val="NormalWeb"/>
        <w:jc w:val="both"/>
        <w:rPr>
          <w:rFonts w:ascii="Arial" w:hAnsi="Arial" w:cs="Arial"/>
          <w:color w:val="000000"/>
          <w:sz w:val="20"/>
          <w:szCs w:val="20"/>
        </w:rPr>
      </w:pPr>
    </w:p>
    <w:p w:rsidR="008712F1" w:rsidRDefault="008712F1" w:rsidP="008712F1">
      <w:pPr>
        <w:pStyle w:val="NormalWeb"/>
        <w:spacing w:before="0" w:beforeAutospacing="0" w:after="0" w:afterAutospacing="0"/>
        <w:jc w:val="both"/>
        <w:rPr>
          <w:rFonts w:ascii="Arial" w:hAnsi="Arial" w:cs="Arial"/>
          <w:color w:val="000000"/>
          <w:sz w:val="20"/>
          <w:szCs w:val="20"/>
        </w:rPr>
      </w:pPr>
    </w:p>
    <w:p w:rsidR="008712F1" w:rsidRPr="00470480" w:rsidRDefault="008712F1" w:rsidP="008712F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8712F1" w:rsidRPr="00470480" w:rsidRDefault="008712F1" w:rsidP="008712F1">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10" w:history="1">
        <w:r w:rsidRPr="00470480">
          <w:rPr>
            <w:rStyle w:val="Hyperlink"/>
            <w:rFonts w:ascii="Arial" w:hAnsi="Arial" w:cs="Arial"/>
            <w:sz w:val="20"/>
            <w:szCs w:val="20"/>
          </w:rPr>
          <w:t>https://www.rbi.org.in/Scripts/NotificationUser.aspx?Id=12256&amp;Mode=0</w:t>
        </w:r>
      </w:hyperlink>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spacing w:after="0"/>
        <w:jc w:val="both"/>
        <w:rPr>
          <w:rFonts w:ascii="Arial" w:hAnsi="Arial" w:cs="Arial"/>
          <w:sz w:val="20"/>
          <w:szCs w:val="20"/>
        </w:rPr>
      </w:pPr>
    </w:p>
    <w:p w:rsidR="008712F1" w:rsidRDefault="008712F1">
      <w:pPr>
        <w:rPr>
          <w:b/>
        </w:rPr>
      </w:pPr>
      <w:r>
        <w:rPr>
          <w:b/>
        </w:rPr>
        <w:br w:type="page"/>
      </w:r>
    </w:p>
    <w:p w:rsidR="008712F1" w:rsidRPr="00470480" w:rsidRDefault="008712F1" w:rsidP="008712F1">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RBI/2021-22/179</w:t>
      </w:r>
      <w:r w:rsidRPr="00470480">
        <w:rPr>
          <w:rFonts w:ascii="Arial" w:hAnsi="Arial" w:cs="Arial"/>
          <w:color w:val="000000"/>
          <w:sz w:val="20"/>
          <w:szCs w:val="20"/>
        </w:rPr>
        <w:br/>
        <w:t>DOR.CAP.REC.92/09.18.201/2021-22</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March 08,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is deemed to have come into force with effect from June 29, 2020 for Primary (Urban) Co-operative Banks (UCBs).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UCBs on issue and regulation of capital funds have been reviewed keeping in view, inter alia, the provisions of Section 12 read with Section 56 of the amended Banking Regulation Act, 1949 (BR Act).</w:t>
      </w:r>
    </w:p>
    <w:p w:rsidR="008712F1" w:rsidRDefault="008712F1" w:rsidP="008712F1">
      <w:pPr>
        <w:pStyle w:val="head"/>
        <w:jc w:val="both"/>
        <w:rPr>
          <w:rFonts w:ascii="Arial" w:hAnsi="Arial" w:cs="Arial"/>
          <w:bCs/>
          <w:color w:val="000000"/>
          <w:sz w:val="20"/>
          <w:szCs w:val="20"/>
        </w:rPr>
      </w:pPr>
    </w:p>
    <w:p w:rsidR="008712F1" w:rsidRDefault="008712F1" w:rsidP="008712F1">
      <w:pPr>
        <w:pStyle w:val="head"/>
        <w:jc w:val="both"/>
        <w:rPr>
          <w:rFonts w:ascii="Arial" w:hAnsi="Arial" w:cs="Arial"/>
          <w:bCs/>
          <w:color w:val="000000"/>
          <w:sz w:val="20"/>
          <w:szCs w:val="20"/>
        </w:rPr>
      </w:pPr>
      <w:r w:rsidRPr="00443878">
        <w:rPr>
          <w:rFonts w:ascii="Arial" w:hAnsi="Arial" w:cs="Arial"/>
          <w:bCs/>
          <w:color w:val="000000"/>
          <w:sz w:val="20"/>
          <w:szCs w:val="20"/>
        </w:rPr>
        <w:t>For information on augmentation of capital funds, refund of share capital, repeal and effective date, refer to the link below.</w:t>
      </w:r>
    </w:p>
    <w:p w:rsidR="008712F1" w:rsidRDefault="008712F1" w:rsidP="008712F1">
      <w:pPr>
        <w:pStyle w:val="head"/>
        <w:jc w:val="both"/>
        <w:rPr>
          <w:rFonts w:ascii="Arial" w:hAnsi="Arial" w:cs="Arial"/>
          <w:sz w:val="20"/>
          <w:szCs w:val="20"/>
        </w:rPr>
      </w:pPr>
    </w:p>
    <w:p w:rsidR="008712F1" w:rsidRPr="00443878" w:rsidRDefault="008712F1" w:rsidP="008712F1">
      <w:pPr>
        <w:pStyle w:val="head"/>
        <w:jc w:val="both"/>
        <w:rPr>
          <w:rFonts w:ascii="Arial" w:hAnsi="Arial" w:cs="Arial"/>
          <w:bCs/>
          <w:color w:val="000000"/>
          <w:sz w:val="20"/>
          <w:szCs w:val="20"/>
        </w:rPr>
      </w:pPr>
      <w:r w:rsidRPr="00470480">
        <w:rPr>
          <w:rFonts w:ascii="Arial" w:hAnsi="Arial" w:cs="Arial"/>
          <w:sz w:val="20"/>
          <w:szCs w:val="20"/>
        </w:rPr>
        <w:t xml:space="preserve">Reference Link: </w:t>
      </w:r>
      <w:hyperlink r:id="rId111" w:history="1">
        <w:r w:rsidRPr="00470480">
          <w:rPr>
            <w:rStyle w:val="Hyperlink"/>
            <w:rFonts w:ascii="Arial" w:hAnsi="Arial" w:cs="Arial"/>
            <w:sz w:val="20"/>
            <w:szCs w:val="20"/>
          </w:rPr>
          <w:t>https://www.rbi.org.in/Scripts/NotificationUser.aspx?Id=12251&amp;Mode=0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b/>
          <w:bCs/>
          <w:color w:val="000000"/>
          <w:sz w:val="20"/>
          <w:szCs w:val="20"/>
        </w:rPr>
      </w:pP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Investment in Umbrella Organization (UO) by Primary (Urban) Co-operative Banks</w:t>
      </w:r>
    </w:p>
    <w:p w:rsidR="008712F1" w:rsidRPr="00470480" w:rsidRDefault="008712F1" w:rsidP="008712F1">
      <w:pPr>
        <w:spacing w:after="0"/>
        <w:jc w:val="both"/>
        <w:rPr>
          <w:rFonts w:ascii="Arial" w:hAnsi="Arial" w:cs="Arial"/>
          <w:b/>
          <w:bCs/>
          <w:color w:val="000000"/>
          <w:sz w:val="20"/>
          <w:szCs w:val="20"/>
        </w:rPr>
      </w:pP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RBI/2021-22/177</w:t>
      </w:r>
      <w:r w:rsidRPr="00470480">
        <w:rPr>
          <w:rFonts w:ascii="Arial" w:hAnsi="Arial" w:cs="Arial"/>
          <w:color w:val="000000"/>
          <w:sz w:val="20"/>
          <w:szCs w:val="20"/>
        </w:rPr>
        <w:br/>
        <w:t>DOR.REC.MRG.90/16.20.000/2021-22</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March 3,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12" w:tgtFrame="_blank" w:history="1">
        <w:r w:rsidRPr="00470480">
          <w:rPr>
            <w:rStyle w:val="Hyperlink"/>
            <w:rFonts w:ascii="Arial" w:hAnsi="Arial" w:cs="Arial"/>
            <w:sz w:val="20"/>
            <w:szCs w:val="20"/>
          </w:rPr>
          <w:t>circular UBD.(PCB).BPD.Cir.No.46/16.20.000/2008-09 dated January 30, 2009</w:t>
        </w:r>
      </w:hyperlink>
      <w:r w:rsidRPr="00470480">
        <w:rPr>
          <w:rFonts w:ascii="Arial" w:hAnsi="Arial" w:cs="Arial"/>
          <w:color w:val="000000"/>
          <w:sz w:val="20"/>
          <w:szCs w:val="20"/>
        </w:rPr>
        <w:t> on Investments in Non-SLR securities by Primary (Urban) Co-operative Banks. Paragraph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of the circular states that the non-SLR investments shall be limited to ten per cent of a bank’s total deposits as on March 31 of the previous year. Further, paragraph 2(iii)(b) states that investments in unlisted securities shall not exceed ten per cent of the total non-SLR investments at any time.</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RBI has accorded regulatory approval to National Federation of Urban Co-operative Banks and Credit Societies Ltd. (NAFCUB) in June 2019 for formation of Umbrella Organization (UO) for the UCB Sector. The approval </w:t>
      </w:r>
      <w:r w:rsidRPr="00470480">
        <w:rPr>
          <w:rStyle w:val="Emphasis"/>
          <w:rFonts w:ascii="Arial" w:hAnsi="Arial" w:cs="Arial"/>
          <w:color w:val="000000"/>
          <w:sz w:val="20"/>
          <w:szCs w:val="20"/>
        </w:rPr>
        <w:t>inter-alia</w:t>
      </w:r>
      <w:r w:rsidRPr="00470480">
        <w:rPr>
          <w:rFonts w:ascii="Arial" w:hAnsi="Arial" w:cs="Arial"/>
          <w:color w:val="000000"/>
          <w:sz w:val="20"/>
          <w:szCs w:val="20"/>
        </w:rPr>
        <w:t> permits UCBs to subscribe to capital of the UO on voluntary basis.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It is advised that the investment made for subscribing to the capital of the UO, for acquiring its membership, shall be exempt from the limits prescribed in Paragraphs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and 2(iii)(b) of the circular ibid.</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Primary (Urban) Co-operative Banks.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5. These instructions come into effect from the date of the circular.</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13" w:history="1">
        <w:r w:rsidRPr="00470480">
          <w:rPr>
            <w:rStyle w:val="Hyperlink"/>
            <w:rFonts w:ascii="Arial" w:hAnsi="Arial" w:cs="Arial"/>
            <w:sz w:val="20"/>
            <w:szCs w:val="20"/>
          </w:rPr>
          <w:t>https://www.rbi.org.in/Scripts/NotificationUser.aspx?Id=12249&amp;Mode=0</w:t>
        </w:r>
      </w:hyperlink>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Default="008712F1">
      <w:pPr>
        <w:rPr>
          <w:b/>
        </w:rPr>
      </w:pPr>
      <w:r>
        <w:rPr>
          <w:b/>
        </w:rPr>
        <w:br w:type="page"/>
      </w:r>
    </w:p>
    <w:p w:rsidR="008712F1" w:rsidRPr="00470480" w:rsidRDefault="008712F1" w:rsidP="008712F1">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14"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115"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116"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117"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18" w:history="1">
        <w:r w:rsidRPr="00470480">
          <w:rPr>
            <w:rStyle w:val="Hyperlink"/>
            <w:rFonts w:ascii="Arial" w:hAnsi="Arial" w:cs="Arial"/>
            <w:sz w:val="20"/>
            <w:szCs w:val="20"/>
          </w:rPr>
          <w:t>https://www.rbi.org.in/Scripts/NotificationUser.aspx?Id=12233&amp;Mode=0</w:t>
        </w:r>
      </w:hyperlink>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p>
    <w:p w:rsidR="008712F1"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Prudential norms on Income Recognition, Asset Classification and Provisioning pertaining to Advances – Clarifications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8712F1" w:rsidRPr="00470480" w:rsidRDefault="008712F1" w:rsidP="008712F1">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119"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8712F1" w:rsidRPr="00470480" w:rsidRDefault="008712F1" w:rsidP="008712F1">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8712F1" w:rsidRPr="00470480" w:rsidRDefault="008712F1" w:rsidP="008712F1">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8712F1" w:rsidRPr="00470480" w:rsidRDefault="008712F1" w:rsidP="008712F1">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8712F1" w:rsidRPr="00470480" w:rsidRDefault="008712F1" w:rsidP="008712F1">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120"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8712F1" w:rsidRPr="00470480" w:rsidRDefault="008712F1" w:rsidP="008712F1">
      <w:pPr>
        <w:pStyle w:val="NormalWeb"/>
        <w:numPr>
          <w:ilvl w:val="0"/>
          <w:numId w:val="4"/>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8712F1" w:rsidRDefault="008712F1" w:rsidP="008712F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712F1" w:rsidRDefault="008712F1" w:rsidP="008712F1">
      <w:pPr>
        <w:pStyle w:val="NormalWeb"/>
        <w:rPr>
          <w:rFonts w:ascii="Arial" w:hAnsi="Arial" w:cs="Arial"/>
          <w:color w:val="000000"/>
          <w:sz w:val="20"/>
          <w:szCs w:val="20"/>
        </w:rPr>
      </w:pPr>
    </w:p>
    <w:p w:rsidR="008712F1" w:rsidRPr="00470480" w:rsidRDefault="008712F1" w:rsidP="008712F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21" w:history="1">
        <w:r w:rsidRPr="00470480">
          <w:rPr>
            <w:rStyle w:val="Hyperlink"/>
            <w:rFonts w:ascii="Arial" w:hAnsi="Arial" w:cs="Arial"/>
            <w:sz w:val="20"/>
            <w:szCs w:val="20"/>
          </w:rPr>
          <w:t>https://www.rbi.org.in/Scripts/NotificationUser.aspx?Id=12230&amp;Mode=0</w:t>
        </w:r>
      </w:hyperlink>
    </w:p>
    <w:p w:rsidR="008712F1" w:rsidRPr="00470480" w:rsidRDefault="008712F1" w:rsidP="008712F1">
      <w:pPr>
        <w:pStyle w:val="NormalWeb"/>
        <w:rPr>
          <w:rFonts w:ascii="Arial" w:hAnsi="Arial" w:cs="Arial"/>
          <w:color w:val="000000"/>
          <w:sz w:val="20"/>
          <w:szCs w:val="20"/>
        </w:rPr>
      </w:pPr>
    </w:p>
    <w:p w:rsidR="008712F1" w:rsidRDefault="008712F1">
      <w:pPr>
        <w:rPr>
          <w:b/>
        </w:rPr>
      </w:pPr>
      <w:r>
        <w:rPr>
          <w:b/>
        </w:rPr>
        <w:br w:type="page"/>
      </w:r>
    </w:p>
    <w:p w:rsidR="008712F1" w:rsidRDefault="008712F1" w:rsidP="008712F1">
      <w:pPr>
        <w:spacing w:after="0"/>
        <w:jc w:val="both"/>
        <w:rPr>
          <w:rFonts w:ascii="Arial" w:hAnsi="Arial" w:cs="Arial"/>
          <w:b/>
          <w:bCs/>
          <w:color w:val="000000"/>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b/>
          <w:bCs/>
          <w:color w:val="000000"/>
          <w:sz w:val="20"/>
          <w:szCs w:val="20"/>
        </w:rPr>
        <w:t>Registration of Assignment of Receivables (Reserve Bank) Regulations, 2022</w:t>
      </w:r>
    </w:p>
    <w:p w:rsidR="008712F1" w:rsidRPr="00470480" w:rsidRDefault="008712F1" w:rsidP="008712F1">
      <w:pPr>
        <w:spacing w:after="0"/>
        <w:jc w:val="both"/>
        <w:rPr>
          <w:rFonts w:ascii="Arial" w:hAnsi="Arial" w:cs="Arial"/>
          <w:sz w:val="20"/>
          <w:szCs w:val="20"/>
        </w:rPr>
      </w:pP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DOR.FIN.081/CGM(JPS) – 2022</w:t>
      </w:r>
    </w:p>
    <w:p w:rsidR="008712F1" w:rsidRPr="00470480" w:rsidRDefault="008712F1" w:rsidP="008712F1">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Assignment of Receivables (Reserve Bank) Regulations,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19 (1A) read with Section 31A of the Factoring Regulation Act, 2011 (12 of 2012), the Reserve Bank of India, hereby makes the following regulations pertaining to the manner of filing of particulars of transactions with the Central Registry by a Trade Receivable Discounting System (</w:t>
      </w:r>
      <w:proofErr w:type="spellStart"/>
      <w:r w:rsidRPr="00470480">
        <w:rPr>
          <w:rFonts w:ascii="Arial" w:hAnsi="Arial" w:cs="Arial"/>
          <w:color w:val="000000"/>
          <w:sz w:val="20"/>
          <w:szCs w:val="20"/>
        </w:rPr>
        <w:t>TReDS</w:t>
      </w:r>
      <w:proofErr w:type="spellEnd"/>
      <w:r w:rsidRPr="00470480">
        <w:rPr>
          <w:rFonts w:ascii="Arial" w:hAnsi="Arial" w:cs="Arial"/>
          <w:color w:val="000000"/>
          <w:sz w:val="20"/>
          <w:szCs w:val="20"/>
        </w:rPr>
        <w:t>) on behalf of Factors.</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Assignment of Receivables (Reserve Bank) Regulations,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“Central Registrar” means a person appointed as such under subsection (1) of section 21 of the Securitisation and Reconstruction of Financial Assets and Enforcement of Security Interest Act, 2002 (54 of 2002);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“Central Registry” means the Central Registry set up under section 20 of the Securitisation and Reconstruction of Financial Assets and Enforcement of Security Interest Act, 2002 (54 of 2002).</w:t>
      </w:r>
    </w:p>
    <w:p w:rsidR="008712F1" w:rsidRDefault="008712F1" w:rsidP="008712F1">
      <w:pPr>
        <w:pStyle w:val="head"/>
        <w:spacing w:after="0" w:afterAutospacing="0"/>
        <w:jc w:val="both"/>
        <w:rPr>
          <w:rFonts w:ascii="Arial" w:hAnsi="Arial" w:cs="Arial"/>
          <w:bCs/>
          <w:color w:val="000000"/>
          <w:sz w:val="20"/>
          <w:szCs w:val="20"/>
        </w:rPr>
      </w:pPr>
    </w:p>
    <w:p w:rsidR="008712F1" w:rsidRDefault="008712F1" w:rsidP="008712F1">
      <w:pPr>
        <w:pStyle w:val="head"/>
        <w:spacing w:after="0" w:afterAutospacing="0"/>
        <w:jc w:val="both"/>
        <w:rPr>
          <w:rFonts w:ascii="Arial" w:hAnsi="Arial" w:cs="Arial"/>
          <w:bCs/>
          <w:color w:val="000000"/>
          <w:sz w:val="20"/>
          <w:szCs w:val="20"/>
        </w:rPr>
      </w:pPr>
    </w:p>
    <w:p w:rsidR="008712F1" w:rsidRPr="002E3BA0" w:rsidRDefault="008712F1" w:rsidP="008712F1">
      <w:pPr>
        <w:pStyle w:val="head"/>
        <w:spacing w:after="0" w:afterAutospacing="0"/>
        <w:jc w:val="both"/>
        <w:rPr>
          <w:rFonts w:ascii="Arial" w:hAnsi="Arial" w:cs="Arial"/>
          <w:bCs/>
          <w:color w:val="000000"/>
          <w:sz w:val="20"/>
          <w:szCs w:val="20"/>
        </w:rPr>
      </w:pPr>
      <w:r w:rsidRPr="002E3BA0">
        <w:rPr>
          <w:rFonts w:ascii="Arial" w:hAnsi="Arial" w:cs="Arial"/>
          <w:bCs/>
          <w:color w:val="000000"/>
          <w:sz w:val="20"/>
          <w:szCs w:val="20"/>
        </w:rPr>
        <w:t>For more information on the ‘Registration of assignments of receivables transactions’, refer to the link below.</w:t>
      </w: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122" w:history="1">
        <w:r w:rsidRPr="00470480">
          <w:rPr>
            <w:rStyle w:val="Hyperlink"/>
            <w:rFonts w:ascii="Arial" w:hAnsi="Arial" w:cs="Arial"/>
            <w:sz w:val="20"/>
            <w:szCs w:val="20"/>
          </w:rPr>
          <w:t>https://www.rbi.org.in/Scripts/NotificationUser.aspx?Id=12223&amp;Mode=0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r w:rsidRPr="00470480">
        <w:rPr>
          <w:rFonts w:ascii="Arial" w:hAnsi="Arial" w:cs="Arial"/>
          <w:b/>
          <w:bCs/>
          <w:color w:val="000000"/>
          <w:sz w:val="20"/>
          <w:szCs w:val="20"/>
        </w:rPr>
        <w:t>Registration of Factors (Reserve Bank) Regulations, 2022</w:t>
      </w:r>
    </w:p>
    <w:p w:rsidR="008712F1" w:rsidRPr="00470480" w:rsidRDefault="008712F1" w:rsidP="008712F1">
      <w:pPr>
        <w:spacing w:after="0"/>
        <w:jc w:val="both"/>
        <w:rPr>
          <w:rFonts w:ascii="Arial" w:hAnsi="Arial" w:cs="Arial"/>
          <w:sz w:val="20"/>
          <w:szCs w:val="20"/>
        </w:rPr>
      </w:pP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 </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DOR.FIN.080/CGM(JPS) – 2022</w:t>
      </w:r>
    </w:p>
    <w:p w:rsidR="008712F1" w:rsidRPr="00470480" w:rsidRDefault="008712F1" w:rsidP="008712F1">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8712F1" w:rsidRPr="00470480" w:rsidRDefault="008712F1" w:rsidP="008712F1">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Factors (Reserve Bank) Regulations,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3 read with Section 31A of the Factoring Regulation Act, 2011 (12 of 2012), the Reserve Bank of India, hereby makes the following regulations pertaining to the manner of granting Certificate of Registration to companies which propose to do factoring business.</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Factors (Reserve Bank) Regulations, 2022.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8712F1" w:rsidRPr="00470480" w:rsidRDefault="008712F1" w:rsidP="008712F1">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(2) “Reserve Bank” means the Reserve Bank of India constituted under Section 3 of the Reserve Bank of India Act, 1934 (2 of 1934);</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(3) “Company” means a company as defined in clause (20) of section 3 of Companies Act, 2013 (18 of 2013);</w:t>
      </w:r>
    </w:p>
    <w:p w:rsidR="008712F1" w:rsidRPr="00470480" w:rsidRDefault="008712F1" w:rsidP="008712F1">
      <w:pPr>
        <w:pStyle w:val="NormalWeb"/>
        <w:jc w:val="both"/>
        <w:rPr>
          <w:rFonts w:ascii="Arial" w:hAnsi="Arial" w:cs="Arial"/>
          <w:color w:val="000000"/>
          <w:sz w:val="20"/>
          <w:szCs w:val="20"/>
        </w:rPr>
      </w:pPr>
      <w:r w:rsidRPr="00470480">
        <w:rPr>
          <w:rFonts w:ascii="Arial" w:hAnsi="Arial" w:cs="Arial"/>
          <w:color w:val="000000"/>
          <w:sz w:val="20"/>
          <w:szCs w:val="20"/>
        </w:rPr>
        <w:t>(4) “Non-Banking Financial Company – Factor (NBFC-Factor)” means a non - banking financial company as defined in clause (f) of section 45-I of the Reserve Bank of India Act, 1934, which has its principal business as per Regulation 4 of these regulations and has been granted a Certificate of Registration (</w:t>
      </w:r>
      <w:proofErr w:type="spellStart"/>
      <w:r w:rsidRPr="00470480">
        <w:rPr>
          <w:rFonts w:ascii="Arial" w:hAnsi="Arial" w:cs="Arial"/>
          <w:color w:val="000000"/>
          <w:sz w:val="20"/>
          <w:szCs w:val="20"/>
        </w:rPr>
        <w:t>CoR</w:t>
      </w:r>
      <w:proofErr w:type="spellEnd"/>
      <w:r w:rsidRPr="00470480">
        <w:rPr>
          <w:rFonts w:ascii="Arial" w:hAnsi="Arial" w:cs="Arial"/>
          <w:color w:val="000000"/>
          <w:sz w:val="20"/>
          <w:szCs w:val="20"/>
        </w:rPr>
        <w:t>) under section 3 of the Act;</w:t>
      </w: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p>
    <w:p w:rsidR="008712F1" w:rsidRDefault="008712F1" w:rsidP="008712F1">
      <w:pPr>
        <w:spacing w:after="0"/>
        <w:jc w:val="both"/>
        <w:rPr>
          <w:rFonts w:ascii="Arial" w:hAnsi="Arial" w:cs="Arial"/>
          <w:sz w:val="20"/>
          <w:szCs w:val="20"/>
        </w:rPr>
      </w:pPr>
      <w:r>
        <w:rPr>
          <w:rFonts w:ascii="Arial" w:hAnsi="Arial" w:cs="Arial"/>
          <w:sz w:val="20"/>
          <w:szCs w:val="20"/>
        </w:rPr>
        <w:t>For more information, refer to the link below.</w:t>
      </w:r>
    </w:p>
    <w:p w:rsidR="008712F1" w:rsidRPr="00470480" w:rsidRDefault="008712F1" w:rsidP="008712F1">
      <w:pPr>
        <w:spacing w:after="0"/>
        <w:jc w:val="both"/>
        <w:rPr>
          <w:rFonts w:ascii="Arial" w:hAnsi="Arial" w:cs="Arial"/>
          <w:sz w:val="20"/>
          <w:szCs w:val="20"/>
        </w:rPr>
      </w:pPr>
      <w:r w:rsidRPr="00470480">
        <w:rPr>
          <w:rFonts w:ascii="Arial" w:hAnsi="Arial" w:cs="Arial"/>
          <w:sz w:val="20"/>
          <w:szCs w:val="20"/>
        </w:rPr>
        <w:t xml:space="preserve">Reference Link: </w:t>
      </w:r>
      <w:hyperlink r:id="rId123" w:history="1">
        <w:r w:rsidRPr="00470480">
          <w:rPr>
            <w:rStyle w:val="Hyperlink"/>
            <w:rFonts w:ascii="Arial" w:hAnsi="Arial" w:cs="Arial"/>
            <w:sz w:val="20"/>
            <w:szCs w:val="20"/>
          </w:rPr>
          <w:t>https://www.rbi.org.in/Scripts/NotificationUser.aspx?Id=12222&amp;Mode=0</w:t>
        </w:r>
      </w:hyperlink>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470480" w:rsidRDefault="008712F1" w:rsidP="008712F1">
      <w:pPr>
        <w:spacing w:after="0"/>
        <w:jc w:val="both"/>
        <w:rPr>
          <w:rFonts w:ascii="Arial" w:hAnsi="Arial" w:cs="Arial"/>
          <w:sz w:val="20"/>
          <w:szCs w:val="20"/>
        </w:rPr>
      </w:pPr>
    </w:p>
    <w:p w:rsidR="008712F1" w:rsidRPr="008712F1" w:rsidRDefault="008712F1" w:rsidP="008712F1">
      <w:pPr>
        <w:rPr>
          <w:b/>
        </w:rPr>
      </w:pPr>
    </w:p>
    <w:sectPr w:rsidR="008712F1" w:rsidRPr="00871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1BC"/>
    <w:multiLevelType w:val="multilevel"/>
    <w:tmpl w:val="09C2C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52C767E1"/>
    <w:multiLevelType w:val="hybridMultilevel"/>
    <w:tmpl w:val="FB048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2F1"/>
    <w:rsid w:val="00177167"/>
    <w:rsid w:val="008712F1"/>
    <w:rsid w:val="00DF0B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C4D4"/>
  <w15:chartTrackingRefBased/>
  <w15:docId w15:val="{ABC756FD-A555-4582-B22A-B8326456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12F1"/>
    <w:rPr>
      <w:color w:val="0000FF"/>
      <w:u w:val="single"/>
    </w:rPr>
  </w:style>
  <w:style w:type="paragraph" w:styleId="NormalWeb">
    <w:name w:val="Normal (Web)"/>
    <w:basedOn w:val="Normal"/>
    <w:uiPriority w:val="99"/>
    <w:unhideWhenUsed/>
    <w:rsid w:val="008712F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712F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8712F1"/>
  </w:style>
  <w:style w:type="character" w:styleId="Emphasis">
    <w:name w:val="Emphasis"/>
    <w:basedOn w:val="DefaultParagraphFont"/>
    <w:uiPriority w:val="20"/>
    <w:qFormat/>
    <w:rsid w:val="008712F1"/>
    <w:rPr>
      <w:i/>
      <w:iCs/>
    </w:rPr>
  </w:style>
  <w:style w:type="table" w:styleId="TableGrid">
    <w:name w:val="Table Grid"/>
    <w:basedOn w:val="TableNormal"/>
    <w:uiPriority w:val="39"/>
    <w:rsid w:val="0087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344&amp;Mode=0" TargetMode="External"/><Relationship Id="rId117" Type="http://schemas.openxmlformats.org/officeDocument/2006/relationships/hyperlink" Target="https://rbi.org.in/Scripts/NotificationUser.aspx?Id=11050&amp;Mode=0" TargetMode="External"/><Relationship Id="rId21" Type="http://schemas.openxmlformats.org/officeDocument/2006/relationships/hyperlink" Target="https://www.rbi.org.in/Scripts/NotificationUser.aspx?Id=12344&amp;Mode=0" TargetMode="External"/><Relationship Id="rId42" Type="http://schemas.openxmlformats.org/officeDocument/2006/relationships/hyperlink" Target="https://www.rbi.org.in/Scripts/NotificationUser.aspx?Id=12335&amp;Mode=0" TargetMode="External"/><Relationship Id="rId47" Type="http://schemas.openxmlformats.org/officeDocument/2006/relationships/hyperlink" Target="https://www.rbi.org.in/Scripts/NotificationUser.aspx?Id=12233&amp;Mode=0" TargetMode="External"/><Relationship Id="rId63" Type="http://schemas.openxmlformats.org/officeDocument/2006/relationships/hyperlink" Target="https://www.rbi.org.in/Scripts/NotificationUser.aspx?Id=12179&amp;Mode=0" TargetMode="External"/><Relationship Id="rId68" Type="http://schemas.openxmlformats.org/officeDocument/2006/relationships/hyperlink" Target="https://www.rbi.org.in/Scripts/NotificationUser.aspx?Id=12289&amp;Mode=0" TargetMode="External"/><Relationship Id="rId84" Type="http://schemas.openxmlformats.org/officeDocument/2006/relationships/hyperlink" Target="https://www.rbi.org.in/Scripts/NotificationUser.aspx?Id=12288&amp;Mode=0" TargetMode="External"/><Relationship Id="rId89" Type="http://schemas.openxmlformats.org/officeDocument/2006/relationships/hyperlink" Target="https://www.rbi.org.in/Scripts/NotificationUser.aspx?Id=12288&amp;Mode=0" TargetMode="External"/><Relationship Id="rId112" Type="http://schemas.openxmlformats.org/officeDocument/2006/relationships/hyperlink" Target="https://www.rbi.org.in/Scripts/NotificationUser.aspx?Id=4808&amp;Mode=0" TargetMode="External"/><Relationship Id="rId16" Type="http://schemas.openxmlformats.org/officeDocument/2006/relationships/hyperlink" Target="https://www.rbi.org.in/Scripts/NotificationUser.aspx?Id=12344&amp;Mode=0" TargetMode="External"/><Relationship Id="rId107" Type="http://schemas.openxmlformats.org/officeDocument/2006/relationships/hyperlink" Target="https://rbi.org.in/Scripts/BS_PressReleaseDisplay.aspx?prid=51077" TargetMode="External"/><Relationship Id="rId11" Type="http://schemas.openxmlformats.org/officeDocument/2006/relationships/hyperlink" Target="https://www.rbi.org.in/Scripts/NotificationUser.aspx?Id=12344&amp;Mode=0" TargetMode="External"/><Relationship Id="rId32" Type="http://schemas.openxmlformats.org/officeDocument/2006/relationships/hyperlink" Target="https://www.rbi.org.in/Scripts/NotificationUser.aspx?Id=12344&amp;Mode=0" TargetMode="External"/><Relationship Id="rId37" Type="http://schemas.openxmlformats.org/officeDocument/2006/relationships/hyperlink" Target="https://rbi.org.in/Scripts/NotificationUser.aspx?Id=5213&amp;Mode=0" TargetMode="External"/><Relationship Id="rId53" Type="http://schemas.openxmlformats.org/officeDocument/2006/relationships/hyperlink" Target="https://www.rbi.org.in/Scripts/NotificationUser.aspx?Id=12318&amp;Mode=0" TargetMode="External"/><Relationship Id="rId58" Type="http://schemas.openxmlformats.org/officeDocument/2006/relationships/hyperlink" Target="https://www.rbi.org.in/Scripts/NotificationUser.aspx?Id=12302&amp;Mode=0" TargetMode="External"/><Relationship Id="rId74" Type="http://schemas.openxmlformats.org/officeDocument/2006/relationships/hyperlink" Target="https://www.rbi.org.in/Scripts/NotificationUser.aspx?Id=12288&amp;Mode=0" TargetMode="External"/><Relationship Id="rId79" Type="http://schemas.openxmlformats.org/officeDocument/2006/relationships/hyperlink" Target="https://www.rbi.org.in/Scripts/NotificationUser.aspx?Id=12288&amp;Mode=0" TargetMode="External"/><Relationship Id="rId102" Type="http://schemas.openxmlformats.org/officeDocument/2006/relationships/hyperlink" Target="https://www.rbi.org.in/" TargetMode="External"/><Relationship Id="rId123" Type="http://schemas.openxmlformats.org/officeDocument/2006/relationships/hyperlink" Target="https://www.rbi.org.in/Scripts/NotificationUser.aspx?Id=12222&amp;Mode=0" TargetMode="External"/><Relationship Id="rId5" Type="http://schemas.openxmlformats.org/officeDocument/2006/relationships/hyperlink" Target="https://www.rbi.org.in/Scripts/BS_ViewMasDirections.aspx?id=12166" TargetMode="External"/><Relationship Id="rId61" Type="http://schemas.openxmlformats.org/officeDocument/2006/relationships/hyperlink" Target="https://www.rbi.org.in/Scripts/NotificationUser.aspx?Id=12294&amp;Mode=0" TargetMode="External"/><Relationship Id="rId82" Type="http://schemas.openxmlformats.org/officeDocument/2006/relationships/hyperlink" Target="https://www.rbi.org.in/Scripts/NotificationUser.aspx?Id=12288&amp;Mode=0" TargetMode="External"/><Relationship Id="rId90" Type="http://schemas.openxmlformats.org/officeDocument/2006/relationships/hyperlink" Target="https://www.rbi.org.in/Scripts/NotificationUser.aspx?Id=12288&amp;Mode=0" TargetMode="External"/><Relationship Id="rId95" Type="http://schemas.openxmlformats.org/officeDocument/2006/relationships/hyperlink" Target="https://www.rbi.org.in/Scripts/NotificationUser.aspx?Id=12283&amp;Mode=0" TargetMode="External"/><Relationship Id="rId19" Type="http://schemas.openxmlformats.org/officeDocument/2006/relationships/hyperlink" Target="https://www.rbi.org.in/Scripts/NotificationUser.aspx?Id=12344&amp;Mode=0" TargetMode="External"/><Relationship Id="rId14" Type="http://schemas.openxmlformats.org/officeDocument/2006/relationships/hyperlink" Target="https://www.rbi.org.in/Scripts/NotificationUser.aspx?Id=12344&amp;Mode=0" TargetMode="External"/><Relationship Id="rId22" Type="http://schemas.openxmlformats.org/officeDocument/2006/relationships/hyperlink" Target="https://www.rbi.org.in/Scripts/NotificationUser.aspx?Id=12344&amp;Mode=0" TargetMode="External"/><Relationship Id="rId27" Type="http://schemas.openxmlformats.org/officeDocument/2006/relationships/hyperlink" Target="https://www.rbi.org.in/Scripts/NotificationUser.aspx?Id=12344&amp;Mode=0" TargetMode="External"/><Relationship Id="rId30" Type="http://schemas.openxmlformats.org/officeDocument/2006/relationships/hyperlink" Target="https://www.rbi.org.in/Scripts/NotificationUser.aspx?Id=12344&amp;Mode=0" TargetMode="External"/><Relationship Id="rId35" Type="http://schemas.openxmlformats.org/officeDocument/2006/relationships/hyperlink" Target="https://www.rbi.org.in/Scripts/NotificationUser.aspx?Id=12336&amp;Mode=0" TargetMode="External"/><Relationship Id="rId43" Type="http://schemas.openxmlformats.org/officeDocument/2006/relationships/hyperlink" Target="https://www.rbi.org.in/Scripts/NotificationUser.aspx?Id=8390&amp;Mode=0" TargetMode="External"/><Relationship Id="rId48" Type="http://schemas.openxmlformats.org/officeDocument/2006/relationships/hyperlink" Target="https://rbidocs.rbi.org.in/rdocs/content/pdfs/GOIG19052022.pdf" TargetMode="External"/><Relationship Id="rId56" Type="http://schemas.openxmlformats.org/officeDocument/2006/relationships/hyperlink" Target="https://rbi.org.in/Scripts/NotificationUser.aspx?Id=12081&amp;Mode=0" TargetMode="External"/><Relationship Id="rId64" Type="http://schemas.openxmlformats.org/officeDocument/2006/relationships/hyperlink" Target="https://rbidocs.rbi.org.in/rdocs/content/pdfs/NOTI26_AN.pdf" TargetMode="External"/><Relationship Id="rId69" Type="http://schemas.openxmlformats.org/officeDocument/2006/relationships/hyperlink" Target="https://www.rbi.org.in/Scripts/NotificationUser.aspx?Id=12289&amp;Mode=0" TargetMode="External"/><Relationship Id="rId77" Type="http://schemas.openxmlformats.org/officeDocument/2006/relationships/hyperlink" Target="https://www.rbi.org.in/Scripts/NotificationUser.aspx?Id=12288&amp;Mode=0" TargetMode="External"/><Relationship Id="rId100" Type="http://schemas.openxmlformats.org/officeDocument/2006/relationships/hyperlink" Target="https://www.rbi.org.in/Scripts/NotificationUser.aspx?Id=12281&amp;Mode=0" TargetMode="External"/><Relationship Id="rId105" Type="http://schemas.openxmlformats.org/officeDocument/2006/relationships/hyperlink" Target="https://www.rbi.org.in/Scripts/NotificationUser.aspx?Id=12272&amp;Mode=0" TargetMode="External"/><Relationship Id="rId113" Type="http://schemas.openxmlformats.org/officeDocument/2006/relationships/hyperlink" Target="https://www.rbi.org.in/Scripts/NotificationUser.aspx?Id=12249&amp;Mode=0" TargetMode="External"/><Relationship Id="rId118" Type="http://schemas.openxmlformats.org/officeDocument/2006/relationships/hyperlink" Target="https://www.rbi.org.in/Scripts/NotificationUser.aspx?Id=12233&amp;Mode=0" TargetMode="External"/><Relationship Id="rId8" Type="http://schemas.openxmlformats.org/officeDocument/2006/relationships/hyperlink" Target="https://rbi.org.in/Scripts/BS_ViewMasCirculardetails.aspx?id=9814" TargetMode="External"/><Relationship Id="rId51" Type="http://schemas.openxmlformats.org/officeDocument/2006/relationships/hyperlink" Target="https://www.rbi.org.in/Scripts/NotificationUser.aspx?Id=12319&amp;Mode=0" TargetMode="External"/><Relationship Id="rId72" Type="http://schemas.openxmlformats.org/officeDocument/2006/relationships/hyperlink" Target="https://www.rbi.org.in/Scripts/NotificationUser.aspx?Id=12288&amp;Mode=0" TargetMode="External"/><Relationship Id="rId80" Type="http://schemas.openxmlformats.org/officeDocument/2006/relationships/hyperlink" Target="https://www.rbi.org.in/Scripts/NotificationUser.aspx?Id=12288&amp;Mode=0" TargetMode="External"/><Relationship Id="rId85" Type="http://schemas.openxmlformats.org/officeDocument/2006/relationships/hyperlink" Target="https://www.rbi.org.in/Scripts/NotificationUser.aspx?Id=12288&amp;Mode=0" TargetMode="External"/><Relationship Id="rId93" Type="http://schemas.openxmlformats.org/officeDocument/2006/relationships/hyperlink" Target="https://www.rbi.org.in/Scripts/BS_ViewMasCirculardetails.aspx?id=12185" TargetMode="External"/><Relationship Id="rId98" Type="http://schemas.openxmlformats.org/officeDocument/2006/relationships/hyperlink" Target="https://www.rbi.org.in/Scripts/NotificationUser.aspx?Id=12281&amp;Mode=0" TargetMode="External"/><Relationship Id="rId121" Type="http://schemas.openxmlformats.org/officeDocument/2006/relationships/hyperlink" Target="https://www.rbi.org.in/Scripts/NotificationUser.aspx?Id=12230&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344&amp;Mode=0" TargetMode="External"/><Relationship Id="rId17" Type="http://schemas.openxmlformats.org/officeDocument/2006/relationships/hyperlink" Target="https://www.rbi.org.in/Scripts/NotificationUser.aspx?Id=12344&amp;Mode=0" TargetMode="External"/><Relationship Id="rId25" Type="http://schemas.openxmlformats.org/officeDocument/2006/relationships/hyperlink" Target="https://www.rbi.org.in/Scripts/NotificationUser.aspx?Id=12344&amp;Mode=0" TargetMode="External"/><Relationship Id="rId33" Type="http://schemas.openxmlformats.org/officeDocument/2006/relationships/hyperlink" Target="https://www.rbi.org.in/Scripts/NotificationUser.aspx?Id=6784&amp;Mode=0" TargetMode="External"/><Relationship Id="rId38" Type="http://schemas.openxmlformats.org/officeDocument/2006/relationships/hyperlink" Target="https://rbi.org.in/Scripts/NotificationUser.aspx?Id=4999&amp;Mode=0" TargetMode="External"/><Relationship Id="rId46" Type="http://schemas.openxmlformats.org/officeDocument/2006/relationships/hyperlink" Target="https://www.rbi.org.in/Scripts/NotificationUser.aspx?Id=11951&amp;Mode=0" TargetMode="External"/><Relationship Id="rId59" Type="http://schemas.openxmlformats.org/officeDocument/2006/relationships/hyperlink" Target="https://www.rbi.org.in/Scripts/NotificationUser.aspx?Id=12297&amp;Mode=0" TargetMode="External"/><Relationship Id="rId67" Type="http://schemas.openxmlformats.org/officeDocument/2006/relationships/hyperlink" Target="https://www.rbi.org.in/Scripts/BS_PressReleaseDisplay.aspx?prid=53536" TargetMode="External"/><Relationship Id="rId103" Type="http://schemas.openxmlformats.org/officeDocument/2006/relationships/hyperlink" Target="https://www.rbi.org.in/Scripts/NotificationUser.aspx?Id=12272&amp;Mode=0" TargetMode="External"/><Relationship Id="rId108" Type="http://schemas.openxmlformats.org/officeDocument/2006/relationships/hyperlink" Target="https://rbi.org.in/Scripts/BS_PressReleaseDisplay.aspx?prid=51725" TargetMode="External"/><Relationship Id="rId116" Type="http://schemas.openxmlformats.org/officeDocument/2006/relationships/hyperlink" Target="https://rbidocs.rbi.org.in/rdocs/content/pdfs/IndianGazzate02072020.pdf" TargetMode="External"/><Relationship Id="rId124" Type="http://schemas.openxmlformats.org/officeDocument/2006/relationships/fontTable" Target="fontTable.xml"/><Relationship Id="rId20" Type="http://schemas.openxmlformats.org/officeDocument/2006/relationships/hyperlink" Target="https://www.rbi.org.in/Scripts/NotificationUser.aspx?Id=12344&amp;Mode=0" TargetMode="External"/><Relationship Id="rId41" Type="http://schemas.openxmlformats.org/officeDocument/2006/relationships/hyperlink" Target="https://www.rbi.org.in/Scripts/NotificationUser.aspx?Id=12335&amp;Mode=0" TargetMode="External"/><Relationship Id="rId54" Type="http://schemas.openxmlformats.org/officeDocument/2006/relationships/hyperlink" Target="https://www.rbi.org.in/Scripts/BS_ViewMasDirections.aspx?id=11959" TargetMode="External"/><Relationship Id="rId62" Type="http://schemas.openxmlformats.org/officeDocument/2006/relationships/hyperlink" Target="https://www.rbi.org.in/Scripts/NotificationUser.aspx?Id=12294&amp;Mode=0" TargetMode="External"/><Relationship Id="rId70" Type="http://schemas.openxmlformats.org/officeDocument/2006/relationships/hyperlink" Target="https://rbi.org.in/Scripts/BS_ViewMasCirculardetails.aspx?id=9880" TargetMode="External"/><Relationship Id="rId75" Type="http://schemas.openxmlformats.org/officeDocument/2006/relationships/hyperlink" Target="https://www.rbi.org.in/Scripts/NotificationUser.aspx?Id=12288&amp;Mode=0" TargetMode="External"/><Relationship Id="rId83" Type="http://schemas.openxmlformats.org/officeDocument/2006/relationships/hyperlink" Target="https://www.rbi.org.in/Scripts/NotificationUser.aspx?Id=12288&amp;Mode=0" TargetMode="External"/><Relationship Id="rId88" Type="http://schemas.openxmlformats.org/officeDocument/2006/relationships/hyperlink" Target="https://www.rbi.org.in/Scripts/NotificationUser.aspx?Id=12288&amp;Mode=0" TargetMode="External"/><Relationship Id="rId91" Type="http://schemas.openxmlformats.org/officeDocument/2006/relationships/hyperlink" Target="https://www.rbi.org.in/Scripts/NotificationUser.aspx?Id=12288&amp;Mode=0" TargetMode="External"/><Relationship Id="rId96" Type="http://schemas.openxmlformats.org/officeDocument/2006/relationships/hyperlink" Target="https://www.rbi.org.in/Scripts/NotificationUser.aspx?Id=12283&amp;Mode=0" TargetMode="External"/><Relationship Id="rId111" Type="http://schemas.openxmlformats.org/officeDocument/2006/relationships/hyperlink" Target="https://www.rbi.org.in/Scripts/NotificationUser.aspx?Id=12251&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 Id="rId15" Type="http://schemas.openxmlformats.org/officeDocument/2006/relationships/hyperlink" Target="https://www.rbi.org.in/Scripts/NotificationUser.aspx?Id=12344&amp;Mode=0" TargetMode="External"/><Relationship Id="rId23" Type="http://schemas.openxmlformats.org/officeDocument/2006/relationships/hyperlink" Target="https://www.rbi.org.in/Scripts/NotificationUser.aspx?Id=12344&amp;Mode=0" TargetMode="External"/><Relationship Id="rId28" Type="http://schemas.openxmlformats.org/officeDocument/2006/relationships/hyperlink" Target="https://www.rbi.org.in/Scripts/NotificationUser.aspx?Id=12344&amp;Mode=0" TargetMode="External"/><Relationship Id="rId36" Type="http://schemas.openxmlformats.org/officeDocument/2006/relationships/hyperlink" Target="https://www.rbi.org.in/Scripts/NotificationUser.aspx?Id=12336&amp;Mode=0" TargetMode="External"/><Relationship Id="rId49" Type="http://schemas.openxmlformats.org/officeDocument/2006/relationships/hyperlink" Target="https://rbidocs.rbi.org.in/rdocs/content/pdfs/IndianGazzate02072020.pdf" TargetMode="External"/><Relationship Id="rId57" Type="http://schemas.openxmlformats.org/officeDocument/2006/relationships/hyperlink" Target="https://www.rbi.org.in/Scripts/NotificationUser.aspx?Id=12317&amp;Mode=0" TargetMode="External"/><Relationship Id="rId106" Type="http://schemas.openxmlformats.org/officeDocument/2006/relationships/hyperlink" Target="https://rbi.org.in/Scripts/BS_PressReleaseDisplay.aspx?prid=51078" TargetMode="External"/><Relationship Id="rId114" Type="http://schemas.openxmlformats.org/officeDocument/2006/relationships/hyperlink" Target="https://rbi.org.in/Scripts/NotificationUser.aspx?Id=12122&amp;Mode=0" TargetMode="External"/><Relationship Id="rId119" Type="http://schemas.openxmlformats.org/officeDocument/2006/relationships/hyperlink" Target="https://www.rbi.org.in/Scripts/NotificationUser.aspx?Id=12194&amp;Mode=0" TargetMode="External"/><Relationship Id="rId10" Type="http://schemas.openxmlformats.org/officeDocument/2006/relationships/hyperlink" Target="https://www.rbi.org.in/Scripts/NotificationUser.aspx?Id=12344&amp;Mode=0" TargetMode="External"/><Relationship Id="rId31" Type="http://schemas.openxmlformats.org/officeDocument/2006/relationships/hyperlink" Target="https://www.rbi.org.in/Scripts/NotificationUser.aspx?Id=12344&amp;Mode=0" TargetMode="External"/><Relationship Id="rId44" Type="http://schemas.openxmlformats.org/officeDocument/2006/relationships/hyperlink" Target="https://www.rbi.org.in/Scripts/NotificationUser.aspx?Id=12323&amp;Mode=0" TargetMode="External"/><Relationship Id="rId52" Type="http://schemas.openxmlformats.org/officeDocument/2006/relationships/hyperlink" Target="https://www.rbi.org.in/Scripts/NotificationUser.aspx?Id=11462&amp;Mode=0" TargetMode="External"/><Relationship Id="rId60" Type="http://schemas.openxmlformats.org/officeDocument/2006/relationships/hyperlink" Target="https://www.rbi.org.in/Scripts/NotificationUser.aspx?Id=12179&amp;Mode=0" TargetMode="External"/><Relationship Id="rId65" Type="http://schemas.openxmlformats.org/officeDocument/2006/relationships/hyperlink" Target="https://www.rbi.org.in/Scripts/NotificationUser.aspx?Id=12292&amp;Mode=0" TargetMode="External"/><Relationship Id="rId73" Type="http://schemas.openxmlformats.org/officeDocument/2006/relationships/hyperlink" Target="https://www.rbi.org.in/Scripts/NotificationUser.aspx?Id=12288&amp;Mode=0" TargetMode="External"/><Relationship Id="rId78" Type="http://schemas.openxmlformats.org/officeDocument/2006/relationships/hyperlink" Target="https://www.rbi.org.in/Scripts/NotificationUser.aspx?Id=12288&amp;Mode=0" TargetMode="External"/><Relationship Id="rId81" Type="http://schemas.openxmlformats.org/officeDocument/2006/relationships/hyperlink" Target="https://www.rbi.org.in/Scripts/NotificationUser.aspx?Id=12288&amp;Mode=0" TargetMode="External"/><Relationship Id="rId86" Type="http://schemas.openxmlformats.org/officeDocument/2006/relationships/hyperlink" Target="https://www.rbi.org.in/Scripts/NotificationUser.aspx?Id=12288&amp;Mode=0" TargetMode="External"/><Relationship Id="rId94" Type="http://schemas.openxmlformats.org/officeDocument/2006/relationships/hyperlink" Target="https://www.rbi.org.in/Scripts/NotificationUser.aspx?Id=12283&amp;Mode=0" TargetMode="External"/><Relationship Id="rId99" Type="http://schemas.openxmlformats.org/officeDocument/2006/relationships/hyperlink" Target="https://www.rbi.org.in/Scripts/NotificationUser.aspx?Id=12281&amp;Mode=0" TargetMode="External"/><Relationship Id="rId101" Type="http://schemas.openxmlformats.org/officeDocument/2006/relationships/hyperlink" Target="https://www.rbi.org.in/Scripts/BS_ViewMasCirculardetails.aspx?id=12187" TargetMode="External"/><Relationship Id="rId122" Type="http://schemas.openxmlformats.org/officeDocument/2006/relationships/hyperlink" Target="https://www.rbi.org.in/Scripts/NotificationUser.aspx?Id=12223&amp;Mode=0"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3" Type="http://schemas.openxmlformats.org/officeDocument/2006/relationships/hyperlink" Target="https://www.rbi.org.in/Scripts/NotificationUser.aspx?Id=12344&amp;Mode=0" TargetMode="External"/><Relationship Id="rId18" Type="http://schemas.openxmlformats.org/officeDocument/2006/relationships/hyperlink" Target="https://www.rbi.org.in/Scripts/NotificationUser.aspx?Id=12344&amp;Mode=0" TargetMode="External"/><Relationship Id="rId39" Type="http://schemas.openxmlformats.org/officeDocument/2006/relationships/hyperlink" Target="https://rbi.org.in/Scripts/NotificationUser.aspx?Id=6230&amp;Mode=0" TargetMode="External"/><Relationship Id="rId109" Type="http://schemas.openxmlformats.org/officeDocument/2006/relationships/hyperlink" Target="https://www.rbi.org.in/Scripts/NotificationUser.aspx?Id=12256&amp;Mode=0" TargetMode="External"/><Relationship Id="rId34" Type="http://schemas.openxmlformats.org/officeDocument/2006/relationships/hyperlink" Target="https://www.rbi.org.in/Scripts/BS_PressReleaseDisplay.aspx?prid=53831" TargetMode="External"/><Relationship Id="rId50" Type="http://schemas.openxmlformats.org/officeDocument/2006/relationships/hyperlink" Target="https://www.rbi.org.in/Scripts/NotificationUser.aspx?Id=11050&amp;Mode=0" TargetMode="External"/><Relationship Id="rId55" Type="http://schemas.openxmlformats.org/officeDocument/2006/relationships/hyperlink" Target="https://www.rbi.org.in/scripts/FS_Notification.aspx?Id=12177&amp;fn=2754&amp;Mode=0" TargetMode="External"/><Relationship Id="rId76" Type="http://schemas.openxmlformats.org/officeDocument/2006/relationships/hyperlink" Target="https://www.rbi.org.in/Scripts/NotificationUser.aspx?Id=12288&amp;Mode=0" TargetMode="External"/><Relationship Id="rId97" Type="http://schemas.openxmlformats.org/officeDocument/2006/relationships/hyperlink" Target="https://www.rbi.org.in/Scripts/BS_ViewMasCirculardetails.aspx?id=12171" TargetMode="External"/><Relationship Id="rId104" Type="http://schemas.openxmlformats.org/officeDocument/2006/relationships/hyperlink" Target="https://www.rbi.org.in/Scripts/NotificationUser.aspx?Id=12272&amp;Mode=0" TargetMode="External"/><Relationship Id="rId120" Type="http://schemas.openxmlformats.org/officeDocument/2006/relationships/hyperlink" Target="https://www.rbi.org.in/Scripts/NotificationUser.aspx?Id=12230&amp;Mode=0" TargetMode="External"/><Relationship Id="rId125" Type="http://schemas.openxmlformats.org/officeDocument/2006/relationships/theme" Target="theme/theme1.xml"/><Relationship Id="rId7" Type="http://schemas.openxmlformats.org/officeDocument/2006/relationships/hyperlink" Target="https://www.rbi.org.in/Scripts/NotificationUser.aspx?Id=12346&amp;Mode=0" TargetMode="External"/><Relationship Id="rId71" Type="http://schemas.openxmlformats.org/officeDocument/2006/relationships/hyperlink" Target="https://www.rbi.org.in/Scripts/NotificationUser.aspx?Id=12288&amp;Mode=0" TargetMode="External"/><Relationship Id="rId92" Type="http://schemas.openxmlformats.org/officeDocument/2006/relationships/hyperlink" Target="https://www.rbi.org.in/Scripts/NotificationUser.aspx?Id=12288&amp;Mode=0" TargetMode="External"/><Relationship Id="rId2" Type="http://schemas.openxmlformats.org/officeDocument/2006/relationships/styles" Target="styles.xml"/><Relationship Id="rId29" Type="http://schemas.openxmlformats.org/officeDocument/2006/relationships/hyperlink" Target="https://www.rbi.org.in/Scripts/NotificationUser.aspx?Id=12344&amp;Mode=0" TargetMode="External"/><Relationship Id="rId24" Type="http://schemas.openxmlformats.org/officeDocument/2006/relationships/hyperlink" Target="https://www.rbi.org.in/Scripts/NotificationUser.aspx?Id=12344&amp;Mode=0" TargetMode="External"/><Relationship Id="rId40" Type="http://schemas.openxmlformats.org/officeDocument/2006/relationships/hyperlink" Target="https://rbi.org.in/Scripts/BS_PressReleaseDisplay.aspx?prid=53831" TargetMode="External"/><Relationship Id="rId45" Type="http://schemas.openxmlformats.org/officeDocument/2006/relationships/hyperlink" Target="https://www.rbi.org.in/Scripts/NotificationUser.aspx?Id=11934&amp;Mode=0" TargetMode="External"/><Relationship Id="rId66" Type="http://schemas.openxmlformats.org/officeDocument/2006/relationships/hyperlink" Target="https://www.rbi.org.in/Scripts/NotificationUser.aspx?Id=11427&amp;Mode=0" TargetMode="External"/><Relationship Id="rId87" Type="http://schemas.openxmlformats.org/officeDocument/2006/relationships/hyperlink" Target="https://www.rbi.org.in/Scripts/NotificationUser.aspx?Id=12288&amp;Mode=0" TargetMode="External"/><Relationship Id="rId110" Type="http://schemas.openxmlformats.org/officeDocument/2006/relationships/hyperlink" Target="https://www.rbi.org.in/Scripts/NotificationUser.aspx?Id=12256&amp;Mode=0" TargetMode="External"/><Relationship Id="rId115" Type="http://schemas.openxmlformats.org/officeDocument/2006/relationships/hyperlink" Target="https://rbidocs.rbi.org.in/rdocs/content/pdfs/GOIJan192022_180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27</Pages>
  <Words>7663</Words>
  <Characters>43684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2022-08-06T09:42:00Z</dcterms:created>
  <dcterms:modified xsi:type="dcterms:W3CDTF">2022-08-06T09:58:00Z</dcterms:modified>
</cp:coreProperties>
</file>